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728" w:rsidRDefault="002A5728">
      <w:pPr>
        <w:spacing w:after="800"/>
      </w:pPr>
    </w:p>
    <w:p w:rsidR="002A5728" w:rsidRDefault="002A5728">
      <w:pPr>
        <w:spacing w:after="600"/>
      </w:pPr>
    </w:p>
    <w:p w:rsidR="005F1203" w:rsidRDefault="005F1203">
      <w:pPr>
        <w:spacing w:after="600"/>
      </w:pPr>
    </w:p>
    <w:p w:rsidR="002A5728" w:rsidRDefault="00000000">
      <w:pPr>
        <w:spacing w:after="120"/>
        <w:jc w:val="center"/>
      </w:pPr>
      <w:r>
        <w:rPr>
          <w:b/>
          <w:bCs/>
          <w:color w:val="1F497D"/>
          <w:sz w:val="28"/>
          <w:szCs w:val="28"/>
        </w:rPr>
        <w:t>PROGRAMME D’APPUI À LA TRANSFORMATION</w:t>
      </w:r>
    </w:p>
    <w:p w:rsidR="002A5728" w:rsidRDefault="00000000">
      <w:pPr>
        <w:spacing w:after="480"/>
        <w:jc w:val="center"/>
      </w:pPr>
      <w:r>
        <w:rPr>
          <w:b/>
          <w:bCs/>
          <w:color w:val="1F497D"/>
          <w:sz w:val="28"/>
          <w:szCs w:val="28"/>
        </w:rPr>
        <w:t>DE L’ÉDUCATION DE BASE (PATEB)</w:t>
      </w:r>
    </w:p>
    <w:p w:rsidR="002A5728" w:rsidRDefault="002A5728">
      <w:pPr>
        <w:pBdr>
          <w:bottom w:val="single" w:sz="8" w:space="4" w:color="1F497D"/>
        </w:pBdr>
        <w:spacing w:after="160"/>
      </w:pPr>
    </w:p>
    <w:p w:rsidR="002A5728" w:rsidRDefault="00000000">
      <w:pPr>
        <w:spacing w:before="200" w:after="80"/>
        <w:jc w:val="center"/>
      </w:pPr>
      <w:r>
        <w:rPr>
          <w:b/>
          <w:bCs/>
          <w:color w:val="1F497D"/>
          <w:sz w:val="44"/>
          <w:szCs w:val="44"/>
        </w:rPr>
        <w:t>ÉTUDE D’IMPACT</w:t>
      </w:r>
    </w:p>
    <w:p w:rsidR="002A5728" w:rsidRDefault="00000000">
      <w:pPr>
        <w:spacing w:after="80"/>
        <w:jc w:val="center"/>
      </w:pPr>
      <w:r>
        <w:rPr>
          <w:b/>
          <w:bCs/>
          <w:color w:val="2E5E8E"/>
          <w:sz w:val="34"/>
          <w:szCs w:val="34"/>
        </w:rPr>
        <w:t>DU DISPOSITIF DE RÉMÉDIATION PÉDAGOGIQUE</w:t>
      </w:r>
    </w:p>
    <w:p w:rsidR="002A5728" w:rsidRDefault="00000000">
      <w:pPr>
        <w:spacing w:after="200"/>
        <w:jc w:val="center"/>
      </w:pPr>
      <w:r>
        <w:rPr>
          <w:color w:val="595959"/>
          <w:sz w:val="24"/>
          <w:szCs w:val="24"/>
        </w:rPr>
        <w:t>Phase expérimentale – Année scolaire 2025-2026</w:t>
      </w:r>
    </w:p>
    <w:p w:rsidR="002A5728" w:rsidRDefault="002A5728">
      <w:pPr>
        <w:pBdr>
          <w:bottom w:val="single" w:sz="8" w:space="4" w:color="1F497D"/>
        </w:pBdr>
        <w:spacing w:after="160"/>
      </w:pPr>
    </w:p>
    <w:p w:rsidR="002A5728" w:rsidRDefault="002A5728">
      <w:pPr>
        <w:spacing w:after="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rsidR="002A5728" w:rsidRDefault="00000000">
            <w:pPr>
              <w:spacing w:after="60"/>
            </w:pPr>
            <w:r>
              <w:rPr>
                <w:b/>
                <w:bCs/>
                <w:color w:val="1F497D"/>
                <w:sz w:val="20"/>
                <w:szCs w:val="20"/>
              </w:rPr>
              <w:t>Zones d’expérimentation</w:t>
            </w:r>
          </w:p>
          <w:p w:rsidR="002A5728" w:rsidRDefault="00000000">
            <w:r>
              <w:rPr>
                <w:sz w:val="20"/>
                <w:szCs w:val="20"/>
              </w:rPr>
              <w:t xml:space="preserve">DRENAET de </w:t>
            </w:r>
            <w:proofErr w:type="spellStart"/>
            <w:r>
              <w:rPr>
                <w:sz w:val="20"/>
                <w:szCs w:val="20"/>
              </w:rPr>
              <w:t>Minignan</w:t>
            </w:r>
            <w:proofErr w:type="spellEnd"/>
            <w:r>
              <w:rPr>
                <w:sz w:val="20"/>
                <w:szCs w:val="20"/>
              </w:rPr>
              <w:t>, Odienné, Katiola, Ferkessédougou</w:t>
            </w:r>
          </w:p>
        </w:tc>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120" w:type="dxa"/>
              <w:left w:w="160" w:type="dxa"/>
              <w:bottom w:w="120" w:type="dxa"/>
              <w:right w:w="160" w:type="dxa"/>
            </w:tcMar>
          </w:tcPr>
          <w:p w:rsidR="002A5728" w:rsidRDefault="00000000">
            <w:pPr>
              <w:spacing w:after="60"/>
            </w:pPr>
            <w:r>
              <w:rPr>
                <w:b/>
                <w:bCs/>
                <w:color w:val="1F497D"/>
                <w:sz w:val="20"/>
                <w:szCs w:val="20"/>
              </w:rPr>
              <w:t>Disciplines concernées</w:t>
            </w:r>
          </w:p>
          <w:p w:rsidR="002A5728" w:rsidRDefault="00000000">
            <w:r>
              <w:rPr>
                <w:sz w:val="20"/>
                <w:szCs w:val="20"/>
              </w:rPr>
              <w:t>Mathématiques, SVT, Physique-Chimie, Français</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60" w:type="dxa"/>
              <w:bottom w:w="120" w:type="dxa"/>
              <w:right w:w="160" w:type="dxa"/>
            </w:tcMar>
          </w:tcPr>
          <w:p w:rsidR="002A5728" w:rsidRDefault="00000000">
            <w:pPr>
              <w:spacing w:after="60"/>
            </w:pPr>
            <w:r>
              <w:rPr>
                <w:b/>
                <w:bCs/>
                <w:color w:val="1F497D"/>
                <w:sz w:val="20"/>
                <w:szCs w:val="20"/>
              </w:rPr>
              <w:t>Niveaux ciblés</w:t>
            </w:r>
          </w:p>
          <w:p w:rsidR="002A5728" w:rsidRDefault="00000000">
            <w:r>
              <w:rPr>
                <w:sz w:val="20"/>
                <w:szCs w:val="20"/>
              </w:rPr>
              <w:t>6ᵉᵐᵉ, 5ᵉᵐᵉ, 4ᵉᵐᵉ, 3ᵉᵐᵉ</w:t>
            </w:r>
          </w:p>
        </w:tc>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60" w:type="dxa"/>
              <w:bottom w:w="120" w:type="dxa"/>
              <w:right w:w="160" w:type="dxa"/>
            </w:tcMar>
          </w:tcPr>
          <w:p w:rsidR="002A5728" w:rsidRDefault="00000000">
            <w:pPr>
              <w:spacing w:after="60"/>
            </w:pPr>
            <w:r>
              <w:rPr>
                <w:b/>
                <w:bCs/>
                <w:color w:val="1F497D"/>
                <w:sz w:val="20"/>
                <w:szCs w:val="20"/>
              </w:rPr>
              <w:t>Date du rapport</w:t>
            </w:r>
          </w:p>
          <w:p w:rsidR="002A5728" w:rsidRDefault="00000000">
            <w:r>
              <w:rPr>
                <w:sz w:val="20"/>
                <w:szCs w:val="20"/>
              </w:rPr>
              <w:t>Mai 2026</w:t>
            </w:r>
          </w:p>
        </w:tc>
      </w:tr>
    </w:tbl>
    <w:p w:rsidR="002A5728" w:rsidRDefault="00000000">
      <w:r>
        <w:br w:type="page"/>
      </w:r>
    </w:p>
    <w:p w:rsidR="002A5728" w:rsidRDefault="00000000">
      <w:pPr>
        <w:pStyle w:val="Titre1"/>
        <w:spacing w:before="0"/>
      </w:pPr>
      <w:bookmarkStart w:id="0" w:name="_Toc230588171"/>
      <w:r>
        <w:lastRenderedPageBreak/>
        <w:t>TABLE DES MATIÈRES</w:t>
      </w:r>
      <w:bookmarkEnd w:id="0"/>
    </w:p>
    <w:p w:rsidR="002A5728" w:rsidRDefault="002A5728">
      <w:pPr>
        <w:pBdr>
          <w:bottom w:val="single" w:sz="8" w:space="4" w:color="1F497D"/>
        </w:pBdr>
        <w:spacing w:after="160"/>
      </w:pPr>
    </w:p>
    <w:sdt>
      <w:sdtPr>
        <w:alias w:val="Table des matières"/>
        <w:id w:val="-1507279452"/>
      </w:sdtPr>
      <w:sdtContent>
        <w:p w:rsidR="005F1203" w:rsidRDefault="00000000">
          <w:pPr>
            <w:pStyle w:val="TM1"/>
            <w:tabs>
              <w:tab w:val="right" w:leader="dot" w:pos="9345"/>
            </w:tabs>
            <w:rPr>
              <w:noProof/>
            </w:rPr>
          </w:pPr>
          <w:r>
            <w:fldChar w:fldCharType="begin"/>
          </w:r>
          <w:r>
            <w:instrText>TOC \h \o "1-3"</w:instrText>
          </w:r>
          <w:r>
            <w:fldChar w:fldCharType="separate"/>
          </w:r>
          <w:hyperlink w:anchor="_Toc230588171" w:history="1">
            <w:r w:rsidR="005F1203" w:rsidRPr="00E86F95">
              <w:rPr>
                <w:rStyle w:val="Lienhypertexte"/>
                <w:noProof/>
              </w:rPr>
              <w:t>TABLE DES MATIÈRES</w:t>
            </w:r>
            <w:r w:rsidR="005F1203">
              <w:rPr>
                <w:noProof/>
              </w:rPr>
              <w:tab/>
            </w:r>
            <w:r w:rsidR="005F1203">
              <w:rPr>
                <w:noProof/>
              </w:rPr>
              <w:fldChar w:fldCharType="begin"/>
            </w:r>
            <w:r w:rsidR="005F1203">
              <w:rPr>
                <w:noProof/>
              </w:rPr>
              <w:instrText xml:space="preserve"> PAGEREF _Toc230588171 \h </w:instrText>
            </w:r>
            <w:r w:rsidR="005F1203">
              <w:rPr>
                <w:noProof/>
              </w:rPr>
            </w:r>
            <w:r w:rsidR="005F1203">
              <w:rPr>
                <w:noProof/>
              </w:rPr>
              <w:fldChar w:fldCharType="separate"/>
            </w:r>
            <w:r w:rsidR="005F1203">
              <w:rPr>
                <w:noProof/>
              </w:rPr>
              <w:t>2</w:t>
            </w:r>
            <w:r w:rsidR="005F1203">
              <w:rPr>
                <w:noProof/>
              </w:rPr>
              <w:fldChar w:fldCharType="end"/>
            </w:r>
          </w:hyperlink>
        </w:p>
        <w:p w:rsidR="005F1203" w:rsidRDefault="005F1203">
          <w:pPr>
            <w:pStyle w:val="TM1"/>
            <w:tabs>
              <w:tab w:val="right" w:leader="dot" w:pos="9345"/>
            </w:tabs>
            <w:rPr>
              <w:noProof/>
            </w:rPr>
          </w:pPr>
          <w:hyperlink w:anchor="_Toc230588172" w:history="1">
            <w:r w:rsidRPr="00E86F95">
              <w:rPr>
                <w:rStyle w:val="Lienhypertexte"/>
                <w:noProof/>
              </w:rPr>
              <w:t>I. Contexte et présentation du dispositif</w:t>
            </w:r>
            <w:r>
              <w:rPr>
                <w:noProof/>
              </w:rPr>
              <w:tab/>
            </w:r>
            <w:r>
              <w:rPr>
                <w:noProof/>
              </w:rPr>
              <w:fldChar w:fldCharType="begin"/>
            </w:r>
            <w:r>
              <w:rPr>
                <w:noProof/>
              </w:rPr>
              <w:instrText xml:space="preserve"> PAGEREF _Toc230588172 \h </w:instrText>
            </w:r>
            <w:r>
              <w:rPr>
                <w:noProof/>
              </w:rPr>
            </w:r>
            <w:r>
              <w:rPr>
                <w:noProof/>
              </w:rPr>
              <w:fldChar w:fldCharType="separate"/>
            </w:r>
            <w:r>
              <w:rPr>
                <w:noProof/>
              </w:rPr>
              <w:t>3</w:t>
            </w:r>
            <w:r>
              <w:rPr>
                <w:noProof/>
              </w:rPr>
              <w:fldChar w:fldCharType="end"/>
            </w:r>
          </w:hyperlink>
        </w:p>
        <w:p w:rsidR="005F1203" w:rsidRDefault="005F1203">
          <w:pPr>
            <w:pStyle w:val="TM2"/>
            <w:tabs>
              <w:tab w:val="right" w:leader="dot" w:pos="9345"/>
            </w:tabs>
            <w:rPr>
              <w:noProof/>
            </w:rPr>
          </w:pPr>
          <w:hyperlink w:anchor="_Toc230588173" w:history="1">
            <w:r w:rsidRPr="00E86F95">
              <w:rPr>
                <w:rStyle w:val="Lienhypertexte"/>
                <w:noProof/>
              </w:rPr>
              <w:t>1.1. Contexte général</w:t>
            </w:r>
            <w:r>
              <w:rPr>
                <w:noProof/>
              </w:rPr>
              <w:tab/>
            </w:r>
            <w:r>
              <w:rPr>
                <w:noProof/>
              </w:rPr>
              <w:fldChar w:fldCharType="begin"/>
            </w:r>
            <w:r>
              <w:rPr>
                <w:noProof/>
              </w:rPr>
              <w:instrText xml:space="preserve"> PAGEREF _Toc230588173 \h </w:instrText>
            </w:r>
            <w:r>
              <w:rPr>
                <w:noProof/>
              </w:rPr>
            </w:r>
            <w:r>
              <w:rPr>
                <w:noProof/>
              </w:rPr>
              <w:fldChar w:fldCharType="separate"/>
            </w:r>
            <w:r>
              <w:rPr>
                <w:noProof/>
              </w:rPr>
              <w:t>3</w:t>
            </w:r>
            <w:r>
              <w:rPr>
                <w:noProof/>
              </w:rPr>
              <w:fldChar w:fldCharType="end"/>
            </w:r>
          </w:hyperlink>
        </w:p>
        <w:p w:rsidR="005F1203" w:rsidRDefault="005F1203">
          <w:pPr>
            <w:pStyle w:val="TM2"/>
            <w:tabs>
              <w:tab w:val="right" w:leader="dot" w:pos="9345"/>
            </w:tabs>
            <w:rPr>
              <w:noProof/>
            </w:rPr>
          </w:pPr>
          <w:hyperlink w:anchor="_Toc230588174" w:history="1">
            <w:r w:rsidRPr="00E86F95">
              <w:rPr>
                <w:rStyle w:val="Lienhypertexte"/>
                <w:noProof/>
              </w:rPr>
              <w:t>1.2. Objectifs du dispositif</w:t>
            </w:r>
            <w:r>
              <w:rPr>
                <w:noProof/>
              </w:rPr>
              <w:tab/>
            </w:r>
            <w:r>
              <w:rPr>
                <w:noProof/>
              </w:rPr>
              <w:fldChar w:fldCharType="begin"/>
            </w:r>
            <w:r>
              <w:rPr>
                <w:noProof/>
              </w:rPr>
              <w:instrText xml:space="preserve"> PAGEREF _Toc230588174 \h </w:instrText>
            </w:r>
            <w:r>
              <w:rPr>
                <w:noProof/>
              </w:rPr>
            </w:r>
            <w:r>
              <w:rPr>
                <w:noProof/>
              </w:rPr>
              <w:fldChar w:fldCharType="separate"/>
            </w:r>
            <w:r>
              <w:rPr>
                <w:noProof/>
              </w:rPr>
              <w:t>3</w:t>
            </w:r>
            <w:r>
              <w:rPr>
                <w:noProof/>
              </w:rPr>
              <w:fldChar w:fldCharType="end"/>
            </w:r>
          </w:hyperlink>
        </w:p>
        <w:p w:rsidR="005F1203" w:rsidRDefault="005F1203">
          <w:pPr>
            <w:pStyle w:val="TM2"/>
            <w:tabs>
              <w:tab w:val="right" w:leader="dot" w:pos="9345"/>
            </w:tabs>
            <w:rPr>
              <w:noProof/>
            </w:rPr>
          </w:pPr>
          <w:hyperlink w:anchor="_Toc230588175" w:history="1">
            <w:r w:rsidRPr="00E86F95">
              <w:rPr>
                <w:rStyle w:val="Lienhypertexte"/>
                <w:noProof/>
              </w:rPr>
              <w:t>1.3. Public bénéficiaire</w:t>
            </w:r>
            <w:r>
              <w:rPr>
                <w:noProof/>
              </w:rPr>
              <w:tab/>
            </w:r>
            <w:r>
              <w:rPr>
                <w:noProof/>
              </w:rPr>
              <w:fldChar w:fldCharType="begin"/>
            </w:r>
            <w:r>
              <w:rPr>
                <w:noProof/>
              </w:rPr>
              <w:instrText xml:space="preserve"> PAGEREF _Toc230588175 \h </w:instrText>
            </w:r>
            <w:r>
              <w:rPr>
                <w:noProof/>
              </w:rPr>
            </w:r>
            <w:r>
              <w:rPr>
                <w:noProof/>
              </w:rPr>
              <w:fldChar w:fldCharType="separate"/>
            </w:r>
            <w:r>
              <w:rPr>
                <w:noProof/>
              </w:rPr>
              <w:t>3</w:t>
            </w:r>
            <w:r>
              <w:rPr>
                <w:noProof/>
              </w:rPr>
              <w:fldChar w:fldCharType="end"/>
            </w:r>
          </w:hyperlink>
        </w:p>
        <w:p w:rsidR="005F1203" w:rsidRDefault="005F1203">
          <w:pPr>
            <w:pStyle w:val="TM1"/>
            <w:tabs>
              <w:tab w:val="right" w:leader="dot" w:pos="9345"/>
            </w:tabs>
            <w:rPr>
              <w:noProof/>
            </w:rPr>
          </w:pPr>
          <w:hyperlink w:anchor="_Toc230588176" w:history="1">
            <w:r w:rsidRPr="00E86F95">
              <w:rPr>
                <w:rStyle w:val="Lienhypertexte"/>
                <w:noProof/>
              </w:rPr>
              <w:t>II. Objectifs de l’étude d’impact</w:t>
            </w:r>
            <w:r>
              <w:rPr>
                <w:noProof/>
              </w:rPr>
              <w:tab/>
            </w:r>
            <w:r>
              <w:rPr>
                <w:noProof/>
              </w:rPr>
              <w:fldChar w:fldCharType="begin"/>
            </w:r>
            <w:r>
              <w:rPr>
                <w:noProof/>
              </w:rPr>
              <w:instrText xml:space="preserve"> PAGEREF _Toc230588176 \h </w:instrText>
            </w:r>
            <w:r>
              <w:rPr>
                <w:noProof/>
              </w:rPr>
            </w:r>
            <w:r>
              <w:rPr>
                <w:noProof/>
              </w:rPr>
              <w:fldChar w:fldCharType="separate"/>
            </w:r>
            <w:r>
              <w:rPr>
                <w:noProof/>
              </w:rPr>
              <w:t>4</w:t>
            </w:r>
            <w:r>
              <w:rPr>
                <w:noProof/>
              </w:rPr>
              <w:fldChar w:fldCharType="end"/>
            </w:r>
          </w:hyperlink>
        </w:p>
        <w:p w:rsidR="005F1203" w:rsidRDefault="005F1203">
          <w:pPr>
            <w:pStyle w:val="TM1"/>
            <w:tabs>
              <w:tab w:val="right" w:leader="dot" w:pos="9345"/>
            </w:tabs>
            <w:rPr>
              <w:noProof/>
            </w:rPr>
          </w:pPr>
          <w:hyperlink w:anchor="_Toc230588177" w:history="1">
            <w:r w:rsidRPr="00E86F95">
              <w:rPr>
                <w:rStyle w:val="Lienhypertexte"/>
                <w:noProof/>
              </w:rPr>
              <w:t>III. Méthodologie</w:t>
            </w:r>
            <w:r>
              <w:rPr>
                <w:noProof/>
              </w:rPr>
              <w:tab/>
            </w:r>
            <w:r>
              <w:rPr>
                <w:noProof/>
              </w:rPr>
              <w:fldChar w:fldCharType="begin"/>
            </w:r>
            <w:r>
              <w:rPr>
                <w:noProof/>
              </w:rPr>
              <w:instrText xml:space="preserve"> PAGEREF _Toc230588177 \h </w:instrText>
            </w:r>
            <w:r>
              <w:rPr>
                <w:noProof/>
              </w:rPr>
            </w:r>
            <w:r>
              <w:rPr>
                <w:noProof/>
              </w:rPr>
              <w:fldChar w:fldCharType="separate"/>
            </w:r>
            <w:r>
              <w:rPr>
                <w:noProof/>
              </w:rPr>
              <w:t>5</w:t>
            </w:r>
            <w:r>
              <w:rPr>
                <w:noProof/>
              </w:rPr>
              <w:fldChar w:fldCharType="end"/>
            </w:r>
          </w:hyperlink>
        </w:p>
        <w:p w:rsidR="005F1203" w:rsidRDefault="005F1203">
          <w:pPr>
            <w:pStyle w:val="TM2"/>
            <w:tabs>
              <w:tab w:val="right" w:leader="dot" w:pos="9345"/>
            </w:tabs>
            <w:rPr>
              <w:noProof/>
            </w:rPr>
          </w:pPr>
          <w:hyperlink w:anchor="_Toc230588178" w:history="1">
            <w:r w:rsidRPr="00E86F95">
              <w:rPr>
                <w:rStyle w:val="Lienhypertexte"/>
                <w:noProof/>
              </w:rPr>
              <w:t>3.1. Approche retenue</w:t>
            </w:r>
            <w:r>
              <w:rPr>
                <w:noProof/>
              </w:rPr>
              <w:tab/>
            </w:r>
            <w:r>
              <w:rPr>
                <w:noProof/>
              </w:rPr>
              <w:fldChar w:fldCharType="begin"/>
            </w:r>
            <w:r>
              <w:rPr>
                <w:noProof/>
              </w:rPr>
              <w:instrText xml:space="preserve"> PAGEREF _Toc230588178 \h </w:instrText>
            </w:r>
            <w:r>
              <w:rPr>
                <w:noProof/>
              </w:rPr>
            </w:r>
            <w:r>
              <w:rPr>
                <w:noProof/>
              </w:rPr>
              <w:fldChar w:fldCharType="separate"/>
            </w:r>
            <w:r>
              <w:rPr>
                <w:noProof/>
              </w:rPr>
              <w:t>5</w:t>
            </w:r>
            <w:r>
              <w:rPr>
                <w:noProof/>
              </w:rPr>
              <w:fldChar w:fldCharType="end"/>
            </w:r>
          </w:hyperlink>
        </w:p>
        <w:p w:rsidR="005F1203" w:rsidRDefault="005F1203">
          <w:pPr>
            <w:pStyle w:val="TM2"/>
            <w:tabs>
              <w:tab w:val="right" w:leader="dot" w:pos="9345"/>
            </w:tabs>
            <w:rPr>
              <w:noProof/>
            </w:rPr>
          </w:pPr>
          <w:hyperlink w:anchor="_Toc230588179" w:history="1">
            <w:r w:rsidRPr="00E86F95">
              <w:rPr>
                <w:rStyle w:val="Lienhypertexte"/>
                <w:noProof/>
              </w:rPr>
              <w:t>3.2. Instruments de collecte</w:t>
            </w:r>
            <w:r>
              <w:rPr>
                <w:noProof/>
              </w:rPr>
              <w:tab/>
            </w:r>
            <w:r>
              <w:rPr>
                <w:noProof/>
              </w:rPr>
              <w:fldChar w:fldCharType="begin"/>
            </w:r>
            <w:r>
              <w:rPr>
                <w:noProof/>
              </w:rPr>
              <w:instrText xml:space="preserve"> PAGEREF _Toc230588179 \h </w:instrText>
            </w:r>
            <w:r>
              <w:rPr>
                <w:noProof/>
              </w:rPr>
            </w:r>
            <w:r>
              <w:rPr>
                <w:noProof/>
              </w:rPr>
              <w:fldChar w:fldCharType="separate"/>
            </w:r>
            <w:r>
              <w:rPr>
                <w:noProof/>
              </w:rPr>
              <w:t>5</w:t>
            </w:r>
            <w:r>
              <w:rPr>
                <w:noProof/>
              </w:rPr>
              <w:fldChar w:fldCharType="end"/>
            </w:r>
          </w:hyperlink>
        </w:p>
        <w:p w:rsidR="005F1203" w:rsidRDefault="005F1203">
          <w:pPr>
            <w:pStyle w:val="TM2"/>
            <w:tabs>
              <w:tab w:val="right" w:leader="dot" w:pos="9345"/>
            </w:tabs>
            <w:rPr>
              <w:noProof/>
            </w:rPr>
          </w:pPr>
          <w:hyperlink w:anchor="_Toc230588180" w:history="1">
            <w:r w:rsidRPr="00E86F95">
              <w:rPr>
                <w:rStyle w:val="Lienhypertexte"/>
                <w:noProof/>
              </w:rPr>
              <w:t>3.3. Contenu du test de connaissances</w:t>
            </w:r>
            <w:r>
              <w:rPr>
                <w:noProof/>
              </w:rPr>
              <w:tab/>
            </w:r>
            <w:r>
              <w:rPr>
                <w:noProof/>
              </w:rPr>
              <w:fldChar w:fldCharType="begin"/>
            </w:r>
            <w:r>
              <w:rPr>
                <w:noProof/>
              </w:rPr>
              <w:instrText xml:space="preserve"> PAGEREF _Toc230588180 \h </w:instrText>
            </w:r>
            <w:r>
              <w:rPr>
                <w:noProof/>
              </w:rPr>
            </w:r>
            <w:r>
              <w:rPr>
                <w:noProof/>
              </w:rPr>
              <w:fldChar w:fldCharType="separate"/>
            </w:r>
            <w:r>
              <w:rPr>
                <w:noProof/>
              </w:rPr>
              <w:t>5</w:t>
            </w:r>
            <w:r>
              <w:rPr>
                <w:noProof/>
              </w:rPr>
              <w:fldChar w:fldCharType="end"/>
            </w:r>
          </w:hyperlink>
        </w:p>
        <w:p w:rsidR="005F1203" w:rsidRDefault="005F1203">
          <w:pPr>
            <w:pStyle w:val="TM2"/>
            <w:tabs>
              <w:tab w:val="right" w:leader="dot" w:pos="9345"/>
            </w:tabs>
            <w:rPr>
              <w:noProof/>
            </w:rPr>
          </w:pPr>
          <w:hyperlink w:anchor="_Toc230588181" w:history="1">
            <w:r w:rsidRPr="00E86F95">
              <w:rPr>
                <w:rStyle w:val="Lienhypertexte"/>
                <w:noProof/>
              </w:rPr>
              <w:t>3.4. Grille de supervision des enseignants</w:t>
            </w:r>
            <w:r>
              <w:rPr>
                <w:noProof/>
              </w:rPr>
              <w:tab/>
            </w:r>
            <w:r>
              <w:rPr>
                <w:noProof/>
              </w:rPr>
              <w:fldChar w:fldCharType="begin"/>
            </w:r>
            <w:r>
              <w:rPr>
                <w:noProof/>
              </w:rPr>
              <w:instrText xml:space="preserve"> PAGEREF _Toc230588181 \h </w:instrText>
            </w:r>
            <w:r>
              <w:rPr>
                <w:noProof/>
              </w:rPr>
            </w:r>
            <w:r>
              <w:rPr>
                <w:noProof/>
              </w:rPr>
              <w:fldChar w:fldCharType="separate"/>
            </w:r>
            <w:r>
              <w:rPr>
                <w:noProof/>
              </w:rPr>
              <w:t>5</w:t>
            </w:r>
            <w:r>
              <w:rPr>
                <w:noProof/>
              </w:rPr>
              <w:fldChar w:fldCharType="end"/>
            </w:r>
          </w:hyperlink>
        </w:p>
        <w:p w:rsidR="005F1203" w:rsidRDefault="005F1203">
          <w:pPr>
            <w:pStyle w:val="TM1"/>
            <w:tabs>
              <w:tab w:val="right" w:leader="dot" w:pos="9345"/>
            </w:tabs>
            <w:rPr>
              <w:noProof/>
            </w:rPr>
          </w:pPr>
          <w:hyperlink w:anchor="_Toc230588182" w:history="1">
            <w:r w:rsidRPr="00E86F95">
              <w:rPr>
                <w:rStyle w:val="Lienhypertexte"/>
                <w:noProof/>
              </w:rPr>
              <w:t>IV. Résultats quantitatifs – Analyse pré/post-test</w:t>
            </w:r>
            <w:r>
              <w:rPr>
                <w:noProof/>
              </w:rPr>
              <w:tab/>
            </w:r>
            <w:r>
              <w:rPr>
                <w:noProof/>
              </w:rPr>
              <w:fldChar w:fldCharType="begin"/>
            </w:r>
            <w:r>
              <w:rPr>
                <w:noProof/>
              </w:rPr>
              <w:instrText xml:space="preserve"> PAGEREF _Toc230588182 \h </w:instrText>
            </w:r>
            <w:r>
              <w:rPr>
                <w:noProof/>
              </w:rPr>
            </w:r>
            <w:r>
              <w:rPr>
                <w:noProof/>
              </w:rPr>
              <w:fldChar w:fldCharType="separate"/>
            </w:r>
            <w:r>
              <w:rPr>
                <w:noProof/>
              </w:rPr>
              <w:t>6</w:t>
            </w:r>
            <w:r>
              <w:rPr>
                <w:noProof/>
              </w:rPr>
              <w:fldChar w:fldCharType="end"/>
            </w:r>
          </w:hyperlink>
        </w:p>
        <w:p w:rsidR="005F1203" w:rsidRDefault="005F1203">
          <w:pPr>
            <w:pStyle w:val="TM2"/>
            <w:tabs>
              <w:tab w:val="right" w:leader="dot" w:pos="9345"/>
            </w:tabs>
            <w:rPr>
              <w:noProof/>
            </w:rPr>
          </w:pPr>
          <w:hyperlink w:anchor="_Toc230588183" w:history="1">
            <w:r w:rsidRPr="00E86F95">
              <w:rPr>
                <w:rStyle w:val="Lienhypertexte"/>
                <w:noProof/>
              </w:rPr>
              <w:t>4.1. Participation et taux de présence</w:t>
            </w:r>
            <w:r>
              <w:rPr>
                <w:noProof/>
              </w:rPr>
              <w:tab/>
            </w:r>
            <w:r>
              <w:rPr>
                <w:noProof/>
              </w:rPr>
              <w:fldChar w:fldCharType="begin"/>
            </w:r>
            <w:r>
              <w:rPr>
                <w:noProof/>
              </w:rPr>
              <w:instrText xml:space="preserve"> PAGEREF _Toc230588183 \h </w:instrText>
            </w:r>
            <w:r>
              <w:rPr>
                <w:noProof/>
              </w:rPr>
            </w:r>
            <w:r>
              <w:rPr>
                <w:noProof/>
              </w:rPr>
              <w:fldChar w:fldCharType="separate"/>
            </w:r>
            <w:r>
              <w:rPr>
                <w:noProof/>
              </w:rPr>
              <w:t>6</w:t>
            </w:r>
            <w:r>
              <w:rPr>
                <w:noProof/>
              </w:rPr>
              <w:fldChar w:fldCharType="end"/>
            </w:r>
          </w:hyperlink>
        </w:p>
        <w:p w:rsidR="005F1203" w:rsidRDefault="005F1203">
          <w:pPr>
            <w:pStyle w:val="TM2"/>
            <w:tabs>
              <w:tab w:val="right" w:leader="dot" w:pos="9345"/>
            </w:tabs>
            <w:rPr>
              <w:noProof/>
            </w:rPr>
          </w:pPr>
          <w:hyperlink w:anchor="_Toc230588184" w:history="1">
            <w:r w:rsidRPr="00E86F95">
              <w:rPr>
                <w:rStyle w:val="Lienhypertexte"/>
                <w:noProof/>
              </w:rPr>
              <w:t>4.2. Progression globale des scores</w:t>
            </w:r>
            <w:r>
              <w:rPr>
                <w:noProof/>
              </w:rPr>
              <w:tab/>
            </w:r>
            <w:r>
              <w:rPr>
                <w:noProof/>
              </w:rPr>
              <w:fldChar w:fldCharType="begin"/>
            </w:r>
            <w:r>
              <w:rPr>
                <w:noProof/>
              </w:rPr>
              <w:instrText xml:space="preserve"> PAGEREF _Toc230588184 \h </w:instrText>
            </w:r>
            <w:r>
              <w:rPr>
                <w:noProof/>
              </w:rPr>
            </w:r>
            <w:r>
              <w:rPr>
                <w:noProof/>
              </w:rPr>
              <w:fldChar w:fldCharType="separate"/>
            </w:r>
            <w:r>
              <w:rPr>
                <w:noProof/>
              </w:rPr>
              <w:t>6</w:t>
            </w:r>
            <w:r>
              <w:rPr>
                <w:noProof/>
              </w:rPr>
              <w:fldChar w:fldCharType="end"/>
            </w:r>
          </w:hyperlink>
        </w:p>
        <w:p w:rsidR="005F1203" w:rsidRDefault="005F1203">
          <w:pPr>
            <w:pStyle w:val="TM2"/>
            <w:tabs>
              <w:tab w:val="right" w:leader="dot" w:pos="9345"/>
            </w:tabs>
            <w:rPr>
              <w:noProof/>
            </w:rPr>
          </w:pPr>
          <w:hyperlink w:anchor="_Toc230588185" w:history="1">
            <w:r w:rsidRPr="00E86F95">
              <w:rPr>
                <w:rStyle w:val="Lienhypertexte"/>
                <w:noProof/>
              </w:rPr>
              <w:t>4.3. Distribution des scores</w:t>
            </w:r>
            <w:r>
              <w:rPr>
                <w:noProof/>
              </w:rPr>
              <w:tab/>
            </w:r>
            <w:r>
              <w:rPr>
                <w:noProof/>
              </w:rPr>
              <w:fldChar w:fldCharType="begin"/>
            </w:r>
            <w:r>
              <w:rPr>
                <w:noProof/>
              </w:rPr>
              <w:instrText xml:space="preserve"> PAGEREF _Toc230588185 \h </w:instrText>
            </w:r>
            <w:r>
              <w:rPr>
                <w:noProof/>
              </w:rPr>
            </w:r>
            <w:r>
              <w:rPr>
                <w:noProof/>
              </w:rPr>
              <w:fldChar w:fldCharType="separate"/>
            </w:r>
            <w:r>
              <w:rPr>
                <w:noProof/>
              </w:rPr>
              <w:t>6</w:t>
            </w:r>
            <w:r>
              <w:rPr>
                <w:noProof/>
              </w:rPr>
              <w:fldChar w:fldCharType="end"/>
            </w:r>
          </w:hyperlink>
        </w:p>
        <w:p w:rsidR="005F1203" w:rsidRDefault="005F1203">
          <w:pPr>
            <w:pStyle w:val="TM3"/>
            <w:tabs>
              <w:tab w:val="right" w:leader="dot" w:pos="9345"/>
            </w:tabs>
            <w:rPr>
              <w:noProof/>
            </w:rPr>
          </w:pPr>
          <w:hyperlink w:anchor="_Toc230588186" w:history="1">
            <w:r w:rsidRPr="00E86F95">
              <w:rPr>
                <w:rStyle w:val="Lienhypertexte"/>
                <w:noProof/>
              </w:rPr>
              <w:t>Pré-test : hétérogénéité et présence de lacunes</w:t>
            </w:r>
            <w:r>
              <w:rPr>
                <w:noProof/>
              </w:rPr>
              <w:tab/>
            </w:r>
            <w:r>
              <w:rPr>
                <w:noProof/>
              </w:rPr>
              <w:fldChar w:fldCharType="begin"/>
            </w:r>
            <w:r>
              <w:rPr>
                <w:noProof/>
              </w:rPr>
              <w:instrText xml:space="preserve"> PAGEREF _Toc230588186 \h </w:instrText>
            </w:r>
            <w:r>
              <w:rPr>
                <w:noProof/>
              </w:rPr>
            </w:r>
            <w:r>
              <w:rPr>
                <w:noProof/>
              </w:rPr>
              <w:fldChar w:fldCharType="separate"/>
            </w:r>
            <w:r>
              <w:rPr>
                <w:noProof/>
              </w:rPr>
              <w:t>6</w:t>
            </w:r>
            <w:r>
              <w:rPr>
                <w:noProof/>
              </w:rPr>
              <w:fldChar w:fldCharType="end"/>
            </w:r>
          </w:hyperlink>
        </w:p>
        <w:p w:rsidR="005F1203" w:rsidRDefault="005F1203">
          <w:pPr>
            <w:pStyle w:val="TM3"/>
            <w:tabs>
              <w:tab w:val="right" w:leader="dot" w:pos="9345"/>
            </w:tabs>
            <w:rPr>
              <w:noProof/>
            </w:rPr>
          </w:pPr>
          <w:hyperlink w:anchor="_Toc230588187" w:history="1">
            <w:r w:rsidRPr="00E86F95">
              <w:rPr>
                <w:rStyle w:val="Lienhypertexte"/>
                <w:noProof/>
              </w:rPr>
              <w:t>Post-test : convergence vers la maîtrise</w:t>
            </w:r>
            <w:r>
              <w:rPr>
                <w:noProof/>
              </w:rPr>
              <w:tab/>
            </w:r>
            <w:r>
              <w:rPr>
                <w:noProof/>
              </w:rPr>
              <w:fldChar w:fldCharType="begin"/>
            </w:r>
            <w:r>
              <w:rPr>
                <w:noProof/>
              </w:rPr>
              <w:instrText xml:space="preserve"> PAGEREF _Toc230588187 \h </w:instrText>
            </w:r>
            <w:r>
              <w:rPr>
                <w:noProof/>
              </w:rPr>
            </w:r>
            <w:r>
              <w:rPr>
                <w:noProof/>
              </w:rPr>
              <w:fldChar w:fldCharType="separate"/>
            </w:r>
            <w:r>
              <w:rPr>
                <w:noProof/>
              </w:rPr>
              <w:t>7</w:t>
            </w:r>
            <w:r>
              <w:rPr>
                <w:noProof/>
              </w:rPr>
              <w:fldChar w:fldCharType="end"/>
            </w:r>
          </w:hyperlink>
        </w:p>
        <w:p w:rsidR="005F1203" w:rsidRDefault="005F1203">
          <w:pPr>
            <w:pStyle w:val="TM2"/>
            <w:tabs>
              <w:tab w:val="right" w:leader="dot" w:pos="9345"/>
            </w:tabs>
            <w:rPr>
              <w:noProof/>
            </w:rPr>
          </w:pPr>
          <w:hyperlink w:anchor="_Toc230588188" w:history="1">
            <w:r w:rsidRPr="00E86F95">
              <w:rPr>
                <w:rStyle w:val="Lienhypertexte"/>
                <w:noProof/>
              </w:rPr>
              <w:t>4.4. Analyse de la progression individuelle</w:t>
            </w:r>
            <w:r>
              <w:rPr>
                <w:noProof/>
              </w:rPr>
              <w:tab/>
            </w:r>
            <w:r>
              <w:rPr>
                <w:noProof/>
              </w:rPr>
              <w:fldChar w:fldCharType="begin"/>
            </w:r>
            <w:r>
              <w:rPr>
                <w:noProof/>
              </w:rPr>
              <w:instrText xml:space="preserve"> PAGEREF _Toc230588188 \h </w:instrText>
            </w:r>
            <w:r>
              <w:rPr>
                <w:noProof/>
              </w:rPr>
            </w:r>
            <w:r>
              <w:rPr>
                <w:noProof/>
              </w:rPr>
              <w:fldChar w:fldCharType="separate"/>
            </w:r>
            <w:r>
              <w:rPr>
                <w:noProof/>
              </w:rPr>
              <w:t>7</w:t>
            </w:r>
            <w:r>
              <w:rPr>
                <w:noProof/>
              </w:rPr>
              <w:fldChar w:fldCharType="end"/>
            </w:r>
          </w:hyperlink>
        </w:p>
        <w:p w:rsidR="005F1203" w:rsidRDefault="005F1203">
          <w:pPr>
            <w:pStyle w:val="TM2"/>
            <w:tabs>
              <w:tab w:val="right" w:leader="dot" w:pos="9345"/>
            </w:tabs>
            <w:rPr>
              <w:noProof/>
            </w:rPr>
          </w:pPr>
          <w:hyperlink w:anchor="_Toc230588189" w:history="1">
            <w:r w:rsidRPr="00E86F95">
              <w:rPr>
                <w:rStyle w:val="Lienhypertexte"/>
                <w:noProof/>
              </w:rPr>
              <w:t>4.5. Analyse thématique du questionnaire</w:t>
            </w:r>
            <w:r>
              <w:rPr>
                <w:noProof/>
              </w:rPr>
              <w:tab/>
            </w:r>
            <w:r>
              <w:rPr>
                <w:noProof/>
              </w:rPr>
              <w:fldChar w:fldCharType="begin"/>
            </w:r>
            <w:r>
              <w:rPr>
                <w:noProof/>
              </w:rPr>
              <w:instrText xml:space="preserve"> PAGEREF _Toc230588189 \h </w:instrText>
            </w:r>
            <w:r>
              <w:rPr>
                <w:noProof/>
              </w:rPr>
            </w:r>
            <w:r>
              <w:rPr>
                <w:noProof/>
              </w:rPr>
              <w:fldChar w:fldCharType="separate"/>
            </w:r>
            <w:r>
              <w:rPr>
                <w:noProof/>
              </w:rPr>
              <w:t>7</w:t>
            </w:r>
            <w:r>
              <w:rPr>
                <w:noProof/>
              </w:rPr>
              <w:fldChar w:fldCharType="end"/>
            </w:r>
          </w:hyperlink>
        </w:p>
        <w:p w:rsidR="005F1203" w:rsidRDefault="005F1203">
          <w:pPr>
            <w:pStyle w:val="TM1"/>
            <w:tabs>
              <w:tab w:val="right" w:leader="dot" w:pos="9345"/>
            </w:tabs>
            <w:rPr>
              <w:noProof/>
            </w:rPr>
          </w:pPr>
          <w:hyperlink w:anchor="_Toc230588190" w:history="1">
            <w:r w:rsidRPr="00E86F95">
              <w:rPr>
                <w:rStyle w:val="Lienhypertexte"/>
                <w:noProof/>
              </w:rPr>
              <w:t>V. Cadre d’observation et de supervision</w:t>
            </w:r>
            <w:r>
              <w:rPr>
                <w:noProof/>
              </w:rPr>
              <w:tab/>
            </w:r>
            <w:r>
              <w:rPr>
                <w:noProof/>
              </w:rPr>
              <w:fldChar w:fldCharType="begin"/>
            </w:r>
            <w:r>
              <w:rPr>
                <w:noProof/>
              </w:rPr>
              <w:instrText xml:space="preserve"> PAGEREF _Toc230588190 \h </w:instrText>
            </w:r>
            <w:r>
              <w:rPr>
                <w:noProof/>
              </w:rPr>
            </w:r>
            <w:r>
              <w:rPr>
                <w:noProof/>
              </w:rPr>
              <w:fldChar w:fldCharType="separate"/>
            </w:r>
            <w:r>
              <w:rPr>
                <w:noProof/>
              </w:rPr>
              <w:t>9</w:t>
            </w:r>
            <w:r>
              <w:rPr>
                <w:noProof/>
              </w:rPr>
              <w:fldChar w:fldCharType="end"/>
            </w:r>
          </w:hyperlink>
        </w:p>
        <w:p w:rsidR="005F1203" w:rsidRDefault="005F1203">
          <w:pPr>
            <w:pStyle w:val="TM2"/>
            <w:tabs>
              <w:tab w:val="right" w:leader="dot" w:pos="9345"/>
            </w:tabs>
            <w:rPr>
              <w:noProof/>
            </w:rPr>
          </w:pPr>
          <w:hyperlink w:anchor="_Toc230588191" w:history="1">
            <w:r w:rsidRPr="00E86F95">
              <w:rPr>
                <w:rStyle w:val="Lienhypertexte"/>
                <w:noProof/>
              </w:rPr>
              <w:t>5.1. La grille d’évaluation de l’expérimentation</w:t>
            </w:r>
            <w:r>
              <w:rPr>
                <w:noProof/>
              </w:rPr>
              <w:tab/>
            </w:r>
            <w:r>
              <w:rPr>
                <w:noProof/>
              </w:rPr>
              <w:fldChar w:fldCharType="begin"/>
            </w:r>
            <w:r>
              <w:rPr>
                <w:noProof/>
              </w:rPr>
              <w:instrText xml:space="preserve"> PAGEREF _Toc230588191 \h </w:instrText>
            </w:r>
            <w:r>
              <w:rPr>
                <w:noProof/>
              </w:rPr>
            </w:r>
            <w:r>
              <w:rPr>
                <w:noProof/>
              </w:rPr>
              <w:fldChar w:fldCharType="separate"/>
            </w:r>
            <w:r>
              <w:rPr>
                <w:noProof/>
              </w:rPr>
              <w:t>9</w:t>
            </w:r>
            <w:r>
              <w:rPr>
                <w:noProof/>
              </w:rPr>
              <w:fldChar w:fldCharType="end"/>
            </w:r>
          </w:hyperlink>
        </w:p>
        <w:p w:rsidR="005F1203" w:rsidRDefault="005F1203">
          <w:pPr>
            <w:pStyle w:val="TM2"/>
            <w:tabs>
              <w:tab w:val="right" w:leader="dot" w:pos="9345"/>
            </w:tabs>
            <w:rPr>
              <w:noProof/>
            </w:rPr>
          </w:pPr>
          <w:hyperlink w:anchor="_Toc230588192" w:history="1">
            <w:r w:rsidRPr="00E86F95">
              <w:rPr>
                <w:rStyle w:val="Lienhypertexte"/>
                <w:noProof/>
              </w:rPr>
              <w:t>5.2. La grille de supervision des enseignants</w:t>
            </w:r>
            <w:r>
              <w:rPr>
                <w:noProof/>
              </w:rPr>
              <w:tab/>
            </w:r>
            <w:r>
              <w:rPr>
                <w:noProof/>
              </w:rPr>
              <w:fldChar w:fldCharType="begin"/>
            </w:r>
            <w:r>
              <w:rPr>
                <w:noProof/>
              </w:rPr>
              <w:instrText xml:space="preserve"> PAGEREF _Toc230588192 \h </w:instrText>
            </w:r>
            <w:r>
              <w:rPr>
                <w:noProof/>
              </w:rPr>
            </w:r>
            <w:r>
              <w:rPr>
                <w:noProof/>
              </w:rPr>
              <w:fldChar w:fldCharType="separate"/>
            </w:r>
            <w:r>
              <w:rPr>
                <w:noProof/>
              </w:rPr>
              <w:t>9</w:t>
            </w:r>
            <w:r>
              <w:rPr>
                <w:noProof/>
              </w:rPr>
              <w:fldChar w:fldCharType="end"/>
            </w:r>
          </w:hyperlink>
        </w:p>
        <w:p w:rsidR="005F1203" w:rsidRDefault="005F1203">
          <w:pPr>
            <w:pStyle w:val="TM1"/>
            <w:tabs>
              <w:tab w:val="right" w:leader="dot" w:pos="9345"/>
            </w:tabs>
            <w:rPr>
              <w:noProof/>
            </w:rPr>
          </w:pPr>
          <w:hyperlink w:anchor="_Toc230588193" w:history="1">
            <w:r w:rsidRPr="00E86F95">
              <w:rPr>
                <w:rStyle w:val="Lienhypertexte"/>
                <w:noProof/>
              </w:rPr>
              <w:t>VI. Analyse et enseignements du dispositif</w:t>
            </w:r>
            <w:r>
              <w:rPr>
                <w:noProof/>
              </w:rPr>
              <w:tab/>
            </w:r>
            <w:r>
              <w:rPr>
                <w:noProof/>
              </w:rPr>
              <w:fldChar w:fldCharType="begin"/>
            </w:r>
            <w:r>
              <w:rPr>
                <w:noProof/>
              </w:rPr>
              <w:instrText xml:space="preserve"> PAGEREF _Toc230588193 \h </w:instrText>
            </w:r>
            <w:r>
              <w:rPr>
                <w:noProof/>
              </w:rPr>
            </w:r>
            <w:r>
              <w:rPr>
                <w:noProof/>
              </w:rPr>
              <w:fldChar w:fldCharType="separate"/>
            </w:r>
            <w:r>
              <w:rPr>
                <w:noProof/>
              </w:rPr>
              <w:t>10</w:t>
            </w:r>
            <w:r>
              <w:rPr>
                <w:noProof/>
              </w:rPr>
              <w:fldChar w:fldCharType="end"/>
            </w:r>
          </w:hyperlink>
        </w:p>
        <w:p w:rsidR="005F1203" w:rsidRDefault="005F1203">
          <w:pPr>
            <w:pStyle w:val="TM2"/>
            <w:tabs>
              <w:tab w:val="right" w:leader="dot" w:pos="9345"/>
            </w:tabs>
            <w:rPr>
              <w:noProof/>
            </w:rPr>
          </w:pPr>
          <w:hyperlink w:anchor="_Toc230588194" w:history="1">
            <w:r w:rsidRPr="00E86F95">
              <w:rPr>
                <w:rStyle w:val="Lienhypertexte"/>
                <w:noProof/>
              </w:rPr>
              <w:t>6.1. Points forts du dispositif</w:t>
            </w:r>
            <w:r>
              <w:rPr>
                <w:noProof/>
              </w:rPr>
              <w:tab/>
            </w:r>
            <w:r>
              <w:rPr>
                <w:noProof/>
              </w:rPr>
              <w:fldChar w:fldCharType="begin"/>
            </w:r>
            <w:r>
              <w:rPr>
                <w:noProof/>
              </w:rPr>
              <w:instrText xml:space="preserve"> PAGEREF _Toc230588194 \h </w:instrText>
            </w:r>
            <w:r>
              <w:rPr>
                <w:noProof/>
              </w:rPr>
            </w:r>
            <w:r>
              <w:rPr>
                <w:noProof/>
              </w:rPr>
              <w:fldChar w:fldCharType="separate"/>
            </w:r>
            <w:r>
              <w:rPr>
                <w:noProof/>
              </w:rPr>
              <w:t>10</w:t>
            </w:r>
            <w:r>
              <w:rPr>
                <w:noProof/>
              </w:rPr>
              <w:fldChar w:fldCharType="end"/>
            </w:r>
          </w:hyperlink>
        </w:p>
        <w:p w:rsidR="005F1203" w:rsidRDefault="005F1203">
          <w:pPr>
            <w:pStyle w:val="TM2"/>
            <w:tabs>
              <w:tab w:val="right" w:leader="dot" w:pos="9345"/>
            </w:tabs>
            <w:rPr>
              <w:noProof/>
            </w:rPr>
          </w:pPr>
          <w:hyperlink w:anchor="_Toc230588195" w:history="1">
            <w:r w:rsidRPr="00E86F95">
              <w:rPr>
                <w:rStyle w:val="Lienhypertexte"/>
                <w:noProof/>
              </w:rPr>
              <w:t>6.2. Points de vigilance</w:t>
            </w:r>
            <w:r>
              <w:rPr>
                <w:noProof/>
              </w:rPr>
              <w:tab/>
            </w:r>
            <w:r>
              <w:rPr>
                <w:noProof/>
              </w:rPr>
              <w:fldChar w:fldCharType="begin"/>
            </w:r>
            <w:r>
              <w:rPr>
                <w:noProof/>
              </w:rPr>
              <w:instrText xml:space="preserve"> PAGEREF _Toc230588195 \h </w:instrText>
            </w:r>
            <w:r>
              <w:rPr>
                <w:noProof/>
              </w:rPr>
            </w:r>
            <w:r>
              <w:rPr>
                <w:noProof/>
              </w:rPr>
              <w:fldChar w:fldCharType="separate"/>
            </w:r>
            <w:r>
              <w:rPr>
                <w:noProof/>
              </w:rPr>
              <w:t>10</w:t>
            </w:r>
            <w:r>
              <w:rPr>
                <w:noProof/>
              </w:rPr>
              <w:fldChar w:fldCharType="end"/>
            </w:r>
          </w:hyperlink>
        </w:p>
        <w:p w:rsidR="005F1203" w:rsidRDefault="005F1203">
          <w:pPr>
            <w:pStyle w:val="TM1"/>
            <w:tabs>
              <w:tab w:val="right" w:leader="dot" w:pos="9345"/>
            </w:tabs>
            <w:rPr>
              <w:noProof/>
            </w:rPr>
          </w:pPr>
          <w:hyperlink w:anchor="_Toc230588196" w:history="1">
            <w:r w:rsidRPr="00E86F95">
              <w:rPr>
                <w:rStyle w:val="Lienhypertexte"/>
                <w:noProof/>
              </w:rPr>
              <w:t>VII. Recommandations</w:t>
            </w:r>
            <w:r>
              <w:rPr>
                <w:noProof/>
              </w:rPr>
              <w:tab/>
            </w:r>
            <w:r>
              <w:rPr>
                <w:noProof/>
              </w:rPr>
              <w:fldChar w:fldCharType="begin"/>
            </w:r>
            <w:r>
              <w:rPr>
                <w:noProof/>
              </w:rPr>
              <w:instrText xml:space="preserve"> PAGEREF _Toc230588196 \h </w:instrText>
            </w:r>
            <w:r>
              <w:rPr>
                <w:noProof/>
              </w:rPr>
            </w:r>
            <w:r>
              <w:rPr>
                <w:noProof/>
              </w:rPr>
              <w:fldChar w:fldCharType="separate"/>
            </w:r>
            <w:r>
              <w:rPr>
                <w:noProof/>
              </w:rPr>
              <w:t>11</w:t>
            </w:r>
            <w:r>
              <w:rPr>
                <w:noProof/>
              </w:rPr>
              <w:fldChar w:fldCharType="end"/>
            </w:r>
          </w:hyperlink>
        </w:p>
        <w:p w:rsidR="005F1203" w:rsidRDefault="005F1203">
          <w:pPr>
            <w:pStyle w:val="TM2"/>
            <w:tabs>
              <w:tab w:val="right" w:leader="dot" w:pos="9345"/>
            </w:tabs>
            <w:rPr>
              <w:noProof/>
            </w:rPr>
          </w:pPr>
          <w:hyperlink w:anchor="_Toc230588197" w:history="1">
            <w:r w:rsidRPr="00E86F95">
              <w:rPr>
                <w:rStyle w:val="Lienhypertexte"/>
                <w:noProof/>
              </w:rPr>
              <w:t>7.1. Consolider les acquis</w:t>
            </w:r>
            <w:r>
              <w:rPr>
                <w:noProof/>
              </w:rPr>
              <w:tab/>
            </w:r>
            <w:r>
              <w:rPr>
                <w:noProof/>
              </w:rPr>
              <w:fldChar w:fldCharType="begin"/>
            </w:r>
            <w:r>
              <w:rPr>
                <w:noProof/>
              </w:rPr>
              <w:instrText xml:space="preserve"> PAGEREF _Toc230588197 \h </w:instrText>
            </w:r>
            <w:r>
              <w:rPr>
                <w:noProof/>
              </w:rPr>
            </w:r>
            <w:r>
              <w:rPr>
                <w:noProof/>
              </w:rPr>
              <w:fldChar w:fldCharType="separate"/>
            </w:r>
            <w:r>
              <w:rPr>
                <w:noProof/>
              </w:rPr>
              <w:t>11</w:t>
            </w:r>
            <w:r>
              <w:rPr>
                <w:noProof/>
              </w:rPr>
              <w:fldChar w:fldCharType="end"/>
            </w:r>
          </w:hyperlink>
        </w:p>
        <w:p w:rsidR="005F1203" w:rsidRDefault="005F1203">
          <w:pPr>
            <w:pStyle w:val="TM2"/>
            <w:tabs>
              <w:tab w:val="right" w:leader="dot" w:pos="9345"/>
            </w:tabs>
            <w:rPr>
              <w:noProof/>
            </w:rPr>
          </w:pPr>
          <w:hyperlink w:anchor="_Toc230588198" w:history="1">
            <w:r w:rsidRPr="00E86F95">
              <w:rPr>
                <w:rStyle w:val="Lienhypertexte"/>
                <w:noProof/>
              </w:rPr>
              <w:t>7.2. Améliorer les outils</w:t>
            </w:r>
            <w:r>
              <w:rPr>
                <w:noProof/>
              </w:rPr>
              <w:tab/>
            </w:r>
            <w:r>
              <w:rPr>
                <w:noProof/>
              </w:rPr>
              <w:fldChar w:fldCharType="begin"/>
            </w:r>
            <w:r>
              <w:rPr>
                <w:noProof/>
              </w:rPr>
              <w:instrText xml:space="preserve"> PAGEREF _Toc230588198 \h </w:instrText>
            </w:r>
            <w:r>
              <w:rPr>
                <w:noProof/>
              </w:rPr>
            </w:r>
            <w:r>
              <w:rPr>
                <w:noProof/>
              </w:rPr>
              <w:fldChar w:fldCharType="separate"/>
            </w:r>
            <w:r>
              <w:rPr>
                <w:noProof/>
              </w:rPr>
              <w:t>11</w:t>
            </w:r>
            <w:r>
              <w:rPr>
                <w:noProof/>
              </w:rPr>
              <w:fldChar w:fldCharType="end"/>
            </w:r>
          </w:hyperlink>
        </w:p>
        <w:p w:rsidR="005F1203" w:rsidRDefault="005F1203">
          <w:pPr>
            <w:pStyle w:val="TM2"/>
            <w:tabs>
              <w:tab w:val="right" w:leader="dot" w:pos="9345"/>
            </w:tabs>
            <w:rPr>
              <w:noProof/>
            </w:rPr>
          </w:pPr>
          <w:hyperlink w:anchor="_Toc230588199" w:history="1">
            <w:r w:rsidRPr="00E86F95">
              <w:rPr>
                <w:rStyle w:val="Lienhypertexte"/>
                <w:noProof/>
              </w:rPr>
              <w:t>7.3. Passer à l'échelle</w:t>
            </w:r>
            <w:r>
              <w:rPr>
                <w:noProof/>
              </w:rPr>
              <w:tab/>
            </w:r>
            <w:r>
              <w:rPr>
                <w:noProof/>
              </w:rPr>
              <w:fldChar w:fldCharType="begin"/>
            </w:r>
            <w:r>
              <w:rPr>
                <w:noProof/>
              </w:rPr>
              <w:instrText xml:space="preserve"> PAGEREF _Toc230588199 \h </w:instrText>
            </w:r>
            <w:r>
              <w:rPr>
                <w:noProof/>
              </w:rPr>
            </w:r>
            <w:r>
              <w:rPr>
                <w:noProof/>
              </w:rPr>
              <w:fldChar w:fldCharType="separate"/>
            </w:r>
            <w:r>
              <w:rPr>
                <w:noProof/>
              </w:rPr>
              <w:t>11</w:t>
            </w:r>
            <w:r>
              <w:rPr>
                <w:noProof/>
              </w:rPr>
              <w:fldChar w:fldCharType="end"/>
            </w:r>
          </w:hyperlink>
        </w:p>
        <w:p w:rsidR="005F1203" w:rsidRDefault="005F1203">
          <w:pPr>
            <w:pStyle w:val="TM1"/>
            <w:tabs>
              <w:tab w:val="right" w:leader="dot" w:pos="9345"/>
            </w:tabs>
            <w:rPr>
              <w:noProof/>
            </w:rPr>
          </w:pPr>
          <w:hyperlink w:anchor="_Toc230588200" w:history="1">
            <w:r w:rsidRPr="00E86F95">
              <w:rPr>
                <w:rStyle w:val="Lienhypertexte"/>
                <w:noProof/>
              </w:rPr>
              <w:t>VIII. Conclusion</w:t>
            </w:r>
            <w:r>
              <w:rPr>
                <w:noProof/>
              </w:rPr>
              <w:tab/>
            </w:r>
            <w:r>
              <w:rPr>
                <w:noProof/>
              </w:rPr>
              <w:fldChar w:fldCharType="begin"/>
            </w:r>
            <w:r>
              <w:rPr>
                <w:noProof/>
              </w:rPr>
              <w:instrText xml:space="preserve"> PAGEREF _Toc230588200 \h </w:instrText>
            </w:r>
            <w:r>
              <w:rPr>
                <w:noProof/>
              </w:rPr>
            </w:r>
            <w:r>
              <w:rPr>
                <w:noProof/>
              </w:rPr>
              <w:fldChar w:fldCharType="separate"/>
            </w:r>
            <w:r>
              <w:rPr>
                <w:noProof/>
              </w:rPr>
              <w:t>12</w:t>
            </w:r>
            <w:r>
              <w:rPr>
                <w:noProof/>
              </w:rPr>
              <w:fldChar w:fldCharType="end"/>
            </w:r>
          </w:hyperlink>
        </w:p>
        <w:p w:rsidR="002A5728" w:rsidRDefault="00000000">
          <w:r>
            <w:fldChar w:fldCharType="end"/>
          </w:r>
        </w:p>
      </w:sdtContent>
    </w:sdt>
    <w:p w:rsidR="002A5728" w:rsidRDefault="00000000">
      <w:r>
        <w:br w:type="page"/>
      </w:r>
    </w:p>
    <w:p w:rsidR="002A5728" w:rsidRDefault="00000000">
      <w:pPr>
        <w:pStyle w:val="Titre1"/>
      </w:pPr>
      <w:bookmarkStart w:id="1" w:name="_Toc230588172"/>
      <w:r>
        <w:lastRenderedPageBreak/>
        <w:t>I. Contexte et présentation du dispositif</w:t>
      </w:r>
      <w:bookmarkEnd w:id="1"/>
    </w:p>
    <w:p w:rsidR="002A5728" w:rsidRDefault="002A5728">
      <w:pPr>
        <w:pBdr>
          <w:bottom w:val="single" w:sz="8" w:space="4" w:color="1F497D"/>
        </w:pBdr>
        <w:spacing w:after="160"/>
      </w:pPr>
    </w:p>
    <w:p w:rsidR="002A5728" w:rsidRDefault="00000000">
      <w:pPr>
        <w:pStyle w:val="Titre2"/>
      </w:pPr>
      <w:bookmarkStart w:id="2" w:name="_Toc230588173"/>
      <w:r>
        <w:t>1.1. Contexte général</w:t>
      </w:r>
      <w:bookmarkEnd w:id="2"/>
    </w:p>
    <w:p w:rsidR="002A5728" w:rsidRDefault="00000000">
      <w:pPr>
        <w:spacing w:after="160"/>
        <w:jc w:val="both"/>
      </w:pPr>
      <w:r>
        <w:t xml:space="preserve">Dans le cadre du Programme d'Appui à la Transformation de l'Éducation de Base (PATEB), la Direction de la Pédagogie et de la Formation Continue (DPFC) a initié une expérimentation du dispositif de remédiation pédagogique dans quatre régions d'inspection du Nord de la Côte d'Ivoire : les DRENAET de </w:t>
      </w:r>
      <w:proofErr w:type="spellStart"/>
      <w:r>
        <w:t>Minignan</w:t>
      </w:r>
      <w:proofErr w:type="spellEnd"/>
      <w:r>
        <w:t xml:space="preserve">, Odienné, Katiola et </w:t>
      </w:r>
      <w:proofErr w:type="spellStart"/>
      <w:r>
        <w:t>Ferkesslédougou</w:t>
      </w:r>
      <w:proofErr w:type="spellEnd"/>
      <w:r>
        <w:t>. Cette expérimentation s'inscrit dans une stratégie nationale visant à améliorer la qualité des apprentissages au sein des établissements d'enseignement secondaire général, en accordant une attention particulière aux élèves en difficulté.</w:t>
      </w:r>
    </w:p>
    <w:p w:rsidR="002A5728" w:rsidRDefault="00000000">
      <w:pPr>
        <w:pStyle w:val="Titre2"/>
      </w:pPr>
      <w:bookmarkStart w:id="3" w:name="_Toc230588174"/>
      <w:r>
        <w:t>1.2. Objectifs du dispositif</w:t>
      </w:r>
      <w:bookmarkEnd w:id="3"/>
    </w:p>
    <w:p w:rsidR="002A5728" w:rsidRDefault="00000000">
      <w:pPr>
        <w:spacing w:after="160"/>
        <w:jc w:val="both"/>
      </w:pPr>
      <w:r>
        <w:t>Le dispositif de remédiation expérimenté vise à renforcer les capacités des enseignants à identifier et à traiter les lacunes d'apprentissage de leurs élèves. Il repose sur plusieurs piliers complémentaires :</w:t>
      </w:r>
    </w:p>
    <w:p w:rsidR="002A5728" w:rsidRDefault="00000000">
      <w:pPr>
        <w:pStyle w:val="Paragraphedeliste"/>
        <w:numPr>
          <w:ilvl w:val="0"/>
          <w:numId w:val="2"/>
        </w:numPr>
        <w:spacing w:after="80"/>
      </w:pPr>
      <w:r>
        <w:t xml:space="preserve">La maîtrise conceptuelle de la remédiation : ses définitions, ses modalités de mise en </w:t>
      </w:r>
      <w:proofErr w:type="spellStart"/>
      <w:r>
        <w:t>oeuvre</w:t>
      </w:r>
      <w:proofErr w:type="spellEnd"/>
      <w:r>
        <w:t xml:space="preserve"> et ses outils de suivi ;</w:t>
      </w:r>
    </w:p>
    <w:p w:rsidR="002A5728" w:rsidRDefault="00000000">
      <w:pPr>
        <w:pStyle w:val="Paragraphedeliste"/>
        <w:numPr>
          <w:ilvl w:val="0"/>
          <w:numId w:val="2"/>
        </w:numPr>
        <w:spacing w:after="80"/>
      </w:pPr>
      <w:r>
        <w:t>La différenciation pédagogique et la gestion des groupes de besoins en classe ;</w:t>
      </w:r>
    </w:p>
    <w:p w:rsidR="002A5728" w:rsidRDefault="00000000">
      <w:pPr>
        <w:pStyle w:val="Paragraphedeliste"/>
        <w:numPr>
          <w:ilvl w:val="0"/>
          <w:numId w:val="2"/>
        </w:numPr>
        <w:spacing w:after="80"/>
      </w:pPr>
      <w:r>
        <w:t>Le bien-être socio-émotionnel des élèves et l'égalité de genre dans les pratiques enseignantes ;</w:t>
      </w:r>
    </w:p>
    <w:p w:rsidR="002A5728" w:rsidRDefault="00000000">
      <w:pPr>
        <w:pStyle w:val="Paragraphedeliste"/>
        <w:numPr>
          <w:ilvl w:val="0"/>
          <w:numId w:val="2"/>
        </w:numPr>
        <w:spacing w:after="80"/>
      </w:pPr>
      <w:r>
        <w:t>La tenue rigoureuse des documents pédagogiques et le suivi de la progression de chaque élève.</w:t>
      </w:r>
    </w:p>
    <w:p w:rsidR="002A5728" w:rsidRDefault="00000000">
      <w:pPr>
        <w:pStyle w:val="Titre2"/>
      </w:pPr>
      <w:bookmarkStart w:id="4" w:name="_Toc230588175"/>
      <w:r>
        <w:t>1.3. Public bénéficiaire</w:t>
      </w:r>
      <w:bookmarkEnd w:id="4"/>
    </w:p>
    <w:p w:rsidR="002A5728" w:rsidRDefault="00000000">
      <w:pPr>
        <w:spacing w:after="160"/>
        <w:jc w:val="both"/>
      </w:pPr>
      <w:r>
        <w:t>L'expérimentation a concerné un échantillon de 227 enseignants inscrits dans quatre disciplines : Mathématiques, Sciences de la Vie et de la Terre (SVT), Physique-Chimie (PC) et Français. Ces enseignants interviennent dans les classes de 6ᵉᵐᵉ, 5ᵉᵐᵉ, 4ᵉᵐᵉ et 3ᵉᵐᵉ, dans des établissements des DRENAET concernés.</w:t>
      </w:r>
    </w:p>
    <w:p w:rsidR="002A5728" w:rsidRDefault="002A5728">
      <w:pPr>
        <w:spacing w:after="160"/>
      </w:pPr>
    </w:p>
    <w:p w:rsidR="002A5728" w:rsidRDefault="00000000">
      <w:pPr>
        <w:pStyle w:val="Titre1"/>
        <w:pageBreakBefore/>
      </w:pPr>
      <w:bookmarkStart w:id="5" w:name="_Toc230588176"/>
      <w:r>
        <w:lastRenderedPageBreak/>
        <w:t>II. Objectifs de l’étude d’impact</w:t>
      </w:r>
      <w:bookmarkEnd w:id="5"/>
    </w:p>
    <w:p w:rsidR="002A5728" w:rsidRDefault="002A5728">
      <w:pPr>
        <w:pBdr>
          <w:bottom w:val="single" w:sz="8" w:space="4" w:color="1F497D"/>
        </w:pBdr>
        <w:spacing w:after="160"/>
      </w:pPr>
    </w:p>
    <w:p w:rsidR="002A5728" w:rsidRDefault="00000000">
      <w:pPr>
        <w:spacing w:after="160"/>
        <w:jc w:val="both"/>
      </w:pPr>
      <w:r>
        <w:t>La présente étude d'impact poursuit quatre objectifs principaux :</w:t>
      </w:r>
    </w:p>
    <w:p w:rsidR="002A5728" w:rsidRDefault="002A5728">
      <w:pPr>
        <w:spacing w:after="80"/>
      </w:pPr>
    </w:p>
    <w:p w:rsidR="002A5728" w:rsidRDefault="00000000">
      <w:pPr>
        <w:pStyle w:val="Paragraphedeliste"/>
        <w:numPr>
          <w:ilvl w:val="0"/>
          <w:numId w:val="2"/>
        </w:numPr>
        <w:spacing w:after="80"/>
      </w:pPr>
      <w:r>
        <w:t>Mesurer les effets de la formation sur les connaissances et compétences des enseignants en matière de remédiation, à travers l'analyse comparative des résultats au pré-test et au post-test ;</w:t>
      </w:r>
    </w:p>
    <w:p w:rsidR="002A5728" w:rsidRDefault="00000000">
      <w:pPr>
        <w:pStyle w:val="Paragraphedeliste"/>
        <w:numPr>
          <w:ilvl w:val="0"/>
          <w:numId w:val="2"/>
        </w:numPr>
        <w:spacing w:after="80"/>
      </w:pPr>
      <w:r>
        <w:t>Décrire le cadre d'évaluation et de supervision mis en place pour observer les pratiques enseignantes en situation réelle ;</w:t>
      </w:r>
    </w:p>
    <w:p w:rsidR="002A5728" w:rsidRDefault="00000000">
      <w:pPr>
        <w:pStyle w:val="Paragraphedeliste"/>
        <w:numPr>
          <w:ilvl w:val="0"/>
          <w:numId w:val="2"/>
        </w:numPr>
        <w:spacing w:after="80"/>
      </w:pPr>
      <w:r>
        <w:t xml:space="preserve">Identifier les facteurs facilitateurs et les obstacles à la mise en </w:t>
      </w:r>
      <w:proofErr w:type="spellStart"/>
      <w:r>
        <w:t>oeuvre</w:t>
      </w:r>
      <w:proofErr w:type="spellEnd"/>
      <w:r>
        <w:t xml:space="preserve"> effective du dispositif ;</w:t>
      </w:r>
    </w:p>
    <w:p w:rsidR="002A5728" w:rsidRDefault="00000000">
      <w:pPr>
        <w:pStyle w:val="Paragraphedeliste"/>
        <w:numPr>
          <w:ilvl w:val="0"/>
          <w:numId w:val="2"/>
        </w:numPr>
        <w:spacing w:after="80"/>
      </w:pPr>
      <w:r>
        <w:t>Formuler des recommandations pour l'amélioration et le passage à l'échelle du dispositif.</w:t>
      </w:r>
    </w:p>
    <w:p w:rsidR="002A5728" w:rsidRDefault="00000000">
      <w:pPr>
        <w:pStyle w:val="Titre1"/>
        <w:pageBreakBefore/>
      </w:pPr>
      <w:bookmarkStart w:id="6" w:name="_Toc230588177"/>
      <w:r>
        <w:lastRenderedPageBreak/>
        <w:t>III. Méthodologie</w:t>
      </w:r>
      <w:bookmarkEnd w:id="6"/>
    </w:p>
    <w:p w:rsidR="002A5728" w:rsidRDefault="002A5728">
      <w:pPr>
        <w:pBdr>
          <w:bottom w:val="single" w:sz="8" w:space="4" w:color="1F497D"/>
        </w:pBdr>
        <w:spacing w:after="160"/>
      </w:pPr>
    </w:p>
    <w:p w:rsidR="002A5728" w:rsidRDefault="00000000">
      <w:pPr>
        <w:pStyle w:val="Titre2"/>
      </w:pPr>
      <w:bookmarkStart w:id="7" w:name="_Toc230588178"/>
      <w:r>
        <w:t>3.1. Approche retenue</w:t>
      </w:r>
      <w:bookmarkEnd w:id="7"/>
    </w:p>
    <w:p w:rsidR="002A5728" w:rsidRDefault="00000000">
      <w:pPr>
        <w:spacing w:after="160"/>
        <w:jc w:val="both"/>
      </w:pPr>
      <w:r>
        <w:t>L'étude s'appuie sur une méthodologie mixte combinant une dimension quantitative (mesure pré/post-test) et une dimension qualitative (grilles d'évaluation et de supervision). Ce double regard permet d'apprécier à la fois l'acquisition des connaissances théoriques et la qualité des pratiques pédagogiques en classe.</w:t>
      </w:r>
    </w:p>
    <w:p w:rsidR="002A5728" w:rsidRDefault="00000000">
      <w:pPr>
        <w:pStyle w:val="Titre2"/>
      </w:pPr>
      <w:bookmarkStart w:id="8" w:name="_Toc230588179"/>
      <w:r>
        <w:t>3.2. Instruments de collecte</w:t>
      </w:r>
      <w:bookmarkEnd w:id="8"/>
    </w:p>
    <w:p w:rsidR="002A5728" w:rsidRDefault="00000000">
      <w:pPr>
        <w:spacing w:after="160"/>
        <w:jc w:val="both"/>
      </w:pPr>
      <w:r>
        <w:t>Trois outils principaux ont structuré la collecte des données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13"/>
        <w:gridCol w:w="2613"/>
      </w:tblGrid>
      <w:tr w:rsidR="002A5728">
        <w:tblPrEx>
          <w:tblCellMar>
            <w:top w:w="0" w:type="dxa"/>
            <w:bottom w:w="0" w:type="dxa"/>
          </w:tblCellMar>
        </w:tblPrEx>
        <w:trPr>
          <w:tblHeader/>
        </w:trPr>
        <w:tc>
          <w:tcPr>
            <w:tcW w:w="28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Outil</w:t>
            </w:r>
          </w:p>
        </w:tc>
        <w:tc>
          <w:tcPr>
            <w:tcW w:w="36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Objet</w:t>
            </w:r>
          </w:p>
        </w:tc>
        <w:tc>
          <w:tcPr>
            <w:tcW w:w="26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Modalité</w:t>
            </w:r>
          </w:p>
        </w:tc>
      </w:tr>
      <w:tr w:rsidR="002A5728">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Test de connaissances (19 questions / 60 pts)</w:t>
            </w:r>
          </w:p>
        </w:tc>
        <w:tc>
          <w:tcPr>
            <w:tcW w:w="36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Compétences conceptuelles et pratiques en remédiation</w:t>
            </w:r>
          </w:p>
        </w:tc>
        <w:tc>
          <w:tcPr>
            <w:tcW w:w="26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Administré avant et après la formation</w:t>
            </w:r>
          </w:p>
        </w:tc>
      </w:tr>
      <w:tr w:rsidR="002A5728">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Grille d'évaluation de l'expérimentation</w:t>
            </w:r>
          </w:p>
        </w:tc>
        <w:tc>
          <w:tcPr>
            <w:tcW w:w="36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Planification, méthodologie, organisation, ressources, satisfaction</w:t>
            </w:r>
          </w:p>
        </w:tc>
        <w:tc>
          <w:tcPr>
            <w:tcW w:w="26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Auto-évaluation par l'enseignant</w:t>
            </w:r>
          </w:p>
        </w:tc>
      </w:tr>
      <w:tr w:rsidR="002A5728">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Grille de supervision (100 pts)</w:t>
            </w:r>
          </w:p>
        </w:tc>
        <w:tc>
          <w:tcPr>
            <w:tcW w:w="36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Pratiques pédagogiques observées en classe (4 domaines)</w:t>
            </w:r>
          </w:p>
        </w:tc>
        <w:tc>
          <w:tcPr>
            <w:tcW w:w="26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Observation par le superviseur</w:t>
            </w:r>
          </w:p>
        </w:tc>
      </w:tr>
    </w:tbl>
    <w:p w:rsidR="002A5728" w:rsidRDefault="002A5728">
      <w:pPr>
        <w:spacing w:after="160"/>
      </w:pPr>
    </w:p>
    <w:p w:rsidR="002A5728" w:rsidRDefault="00000000">
      <w:pPr>
        <w:pStyle w:val="Titre2"/>
      </w:pPr>
      <w:bookmarkStart w:id="9" w:name="_Toc230588180"/>
      <w:r>
        <w:t>3.3. Contenu du test de connaissances</w:t>
      </w:r>
      <w:bookmarkEnd w:id="9"/>
    </w:p>
    <w:p w:rsidR="002A5728" w:rsidRDefault="00000000">
      <w:pPr>
        <w:spacing w:after="160"/>
        <w:jc w:val="both"/>
      </w:pPr>
      <w:r>
        <w:t>Le test comprend 19 questions à choix multiples portant sur les thématiques suivantes : la définition et les principes de la remédiation, les stratégies d'intervention pédagogique, les outils de suivi de la progression des élèves (Exit Ticket, tableau collectif de progrès, carnet de bord), la gestion des groupes de besoins, le bien-être socio-émotionnel et l'égalité de genre. Le barème maximal est de 60 points.</w:t>
      </w:r>
    </w:p>
    <w:p w:rsidR="002A5728" w:rsidRDefault="00000000">
      <w:pPr>
        <w:pStyle w:val="Titre2"/>
      </w:pPr>
      <w:bookmarkStart w:id="10" w:name="_Toc230588181"/>
      <w:r>
        <w:t>3.4. Grille de supervision des enseignants</w:t>
      </w:r>
      <w:bookmarkEnd w:id="10"/>
    </w:p>
    <w:p w:rsidR="002A5728" w:rsidRDefault="00000000">
      <w:pPr>
        <w:spacing w:after="160"/>
        <w:jc w:val="both"/>
      </w:pPr>
      <w:r>
        <w:t>La grille de supervision, notée sur 100 points, évalue les enseignants selon quatre domaines de compétences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6"/>
        <w:gridCol w:w="1800"/>
        <w:gridCol w:w="1800"/>
      </w:tblGrid>
      <w:tr w:rsidR="002A5728">
        <w:tblPrEx>
          <w:tblCellMar>
            <w:top w:w="0" w:type="dxa"/>
            <w:bottom w:w="0" w:type="dxa"/>
          </w:tblCellMar>
        </w:tblPrEx>
        <w:trPr>
          <w:tblHeader/>
        </w:trPr>
        <w:tc>
          <w:tcPr>
            <w:tcW w:w="5426"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Domaine de compétences</w:t>
            </w:r>
          </w:p>
        </w:tc>
        <w:tc>
          <w:tcPr>
            <w:tcW w:w="18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Points</w:t>
            </w:r>
          </w:p>
        </w:tc>
        <w:tc>
          <w:tcPr>
            <w:tcW w:w="18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w:t>
            </w:r>
          </w:p>
        </w:tc>
      </w:tr>
      <w:tr w:rsidR="002A5728">
        <w:tblPrEx>
          <w:tblCellMar>
            <w:top w:w="0" w:type="dxa"/>
            <w:bottom w:w="0" w:type="dxa"/>
          </w:tblCellMar>
        </w:tblPrEx>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II.1 – Aptitudes pédagogiques (activité élèves, étayage, traitement erreur, autonomie, différenciation, temps didactique, trace apprentissages)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69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69 %</w:t>
            </w:r>
          </w:p>
        </w:tc>
      </w:tr>
      <w:tr w:rsidR="002A5728">
        <w:tblPrEx>
          <w:tblCellMar>
            <w:top w:w="0" w:type="dxa"/>
            <w:bottom w:w="0" w:type="dxa"/>
          </w:tblCellMar>
        </w:tblPrEx>
        <w:tc>
          <w:tcPr>
            <w:tcW w:w="5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II.2 – Tenue des documents pédagogiques et administratifs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9</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9 %</w:t>
            </w:r>
          </w:p>
        </w:tc>
      </w:tr>
      <w:tr w:rsidR="002A5728">
        <w:tblPrEx>
          <w:tblCellMar>
            <w:top w:w="0" w:type="dxa"/>
            <w:bottom w:w="0" w:type="dxa"/>
          </w:tblCellMar>
        </w:tblPrEx>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II.3 – Éthique et déontologie du métier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16 %</w:t>
            </w:r>
          </w:p>
        </w:tc>
      </w:tr>
      <w:tr w:rsidR="002A5728">
        <w:tblPrEx>
          <w:tblCellMar>
            <w:top w:w="0" w:type="dxa"/>
            <w:bottom w:w="0" w:type="dxa"/>
          </w:tblCellMar>
        </w:tblPrEx>
        <w:tc>
          <w:tcPr>
            <w:tcW w:w="5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II.4 – Utilisation du matériel et supports didactiques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6</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6 %</w:t>
            </w:r>
          </w:p>
        </w:tc>
      </w:tr>
      <w:tr w:rsidR="002A5728">
        <w:tblPrEx>
          <w:tblCellMar>
            <w:top w:w="0" w:type="dxa"/>
            <w:bottom w:w="0" w:type="dxa"/>
          </w:tblCellMar>
        </w:tblPrEx>
        <w:tc>
          <w:tcPr>
            <w:tcW w:w="5426"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rsidR="002A5728" w:rsidRDefault="00000000">
            <w:r>
              <w:rPr>
                <w:sz w:val="20"/>
                <w:szCs w:val="20"/>
              </w:rPr>
              <w:t>TOTAL</w:t>
            </w:r>
          </w:p>
        </w:tc>
        <w:tc>
          <w:tcPr>
            <w:tcW w:w="18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rsidR="002A5728" w:rsidRDefault="00000000">
            <w:pPr>
              <w:jc w:val="center"/>
            </w:pPr>
            <w:r>
              <w:rPr>
                <w:sz w:val="20"/>
                <w:szCs w:val="20"/>
              </w:rPr>
              <w:t>100</w:t>
            </w:r>
          </w:p>
        </w:tc>
        <w:tc>
          <w:tcPr>
            <w:tcW w:w="18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vAlign w:val="center"/>
          </w:tcPr>
          <w:p w:rsidR="002A5728" w:rsidRDefault="00000000">
            <w:pPr>
              <w:jc w:val="center"/>
            </w:pPr>
            <w:r>
              <w:rPr>
                <w:sz w:val="20"/>
                <w:szCs w:val="20"/>
              </w:rPr>
              <w:t>100 %</w:t>
            </w:r>
          </w:p>
        </w:tc>
      </w:tr>
    </w:tbl>
    <w:p w:rsidR="002A5728" w:rsidRDefault="002A5728">
      <w:pPr>
        <w:spacing w:after="160"/>
      </w:pPr>
    </w:p>
    <w:p w:rsidR="002A5728" w:rsidRDefault="00000000">
      <w:pPr>
        <w:pStyle w:val="Titre1"/>
        <w:pageBreakBefore/>
      </w:pPr>
      <w:bookmarkStart w:id="11" w:name="_Toc230588182"/>
      <w:r>
        <w:lastRenderedPageBreak/>
        <w:t>IV. Résultats quantitatifs – Analyse pré/post-test</w:t>
      </w:r>
      <w:bookmarkEnd w:id="11"/>
    </w:p>
    <w:p w:rsidR="002A5728" w:rsidRDefault="002A5728">
      <w:pPr>
        <w:pBdr>
          <w:bottom w:val="single" w:sz="8" w:space="4" w:color="1F497D"/>
        </w:pBdr>
        <w:spacing w:after="160"/>
      </w:pPr>
    </w:p>
    <w:p w:rsidR="002A5728" w:rsidRDefault="00000000">
      <w:pPr>
        <w:pStyle w:val="Titre2"/>
      </w:pPr>
      <w:bookmarkStart w:id="12" w:name="_Toc230588183"/>
      <w:r>
        <w:t>4.1. Participation et taux de présence</w:t>
      </w:r>
      <w:bookmarkEnd w:id="12"/>
    </w:p>
    <w:p w:rsidR="002A5728" w:rsidRDefault="002A572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2A5728">
        <w:tblPrEx>
          <w:tblCellMar>
            <w:top w:w="0" w:type="dxa"/>
            <w:bottom w:w="0" w:type="dxa"/>
          </w:tblCellMar>
        </w:tblPrEx>
        <w:trPr>
          <w:tblHeader/>
        </w:trPr>
        <w:tc>
          <w:tcPr>
            <w:tcW w:w="45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Indicateur</w:t>
            </w:r>
          </w:p>
        </w:tc>
        <w:tc>
          <w:tcPr>
            <w:tcW w:w="45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Valeur</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Enseignants inscrits</w:t>
            </w:r>
          </w:p>
        </w:tc>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227</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Présents aux deux tests</w:t>
            </w:r>
          </w:p>
        </w:tc>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224</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Absents</w:t>
            </w:r>
          </w:p>
        </w:tc>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3</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Taux de participation</w:t>
            </w:r>
          </w:p>
        </w:tc>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98,7 %</w:t>
            </w:r>
          </w:p>
        </w:tc>
      </w:tr>
    </w:tbl>
    <w:p w:rsidR="002A5728" w:rsidRDefault="002A5728">
      <w:pPr>
        <w:spacing w:after="160"/>
      </w:pPr>
    </w:p>
    <w:p w:rsidR="002A5728" w:rsidRDefault="00000000">
      <w:pPr>
        <w:spacing w:after="160"/>
        <w:jc w:val="both"/>
      </w:pPr>
      <w:r>
        <w:t>Le taux de participation de 98,7 % témoigne d'un engagement remarquable des enseignants tout au long du dispositif.</w:t>
      </w:r>
    </w:p>
    <w:p w:rsidR="002A5728" w:rsidRDefault="00000000">
      <w:pPr>
        <w:pStyle w:val="Titre2"/>
      </w:pPr>
      <w:bookmarkStart w:id="13" w:name="_Toc230588184"/>
      <w:r>
        <w:t>4.2. Progression globale des scores</w:t>
      </w:r>
      <w:bookmarkEnd w:id="13"/>
    </w:p>
    <w:p w:rsidR="002A5728" w:rsidRDefault="002A572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26"/>
        <w:gridCol w:w="2600"/>
        <w:gridCol w:w="2600"/>
      </w:tblGrid>
      <w:tr w:rsidR="002A5728">
        <w:tblPrEx>
          <w:tblCellMar>
            <w:top w:w="0" w:type="dxa"/>
            <w:bottom w:w="0" w:type="dxa"/>
          </w:tblCellMar>
        </w:tblPrEx>
        <w:trPr>
          <w:tblHeader/>
        </w:trPr>
        <w:tc>
          <w:tcPr>
            <w:tcW w:w="3826"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Indicateur statistique</w:t>
            </w:r>
          </w:p>
        </w:tc>
        <w:tc>
          <w:tcPr>
            <w:tcW w:w="26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Pré-test</w:t>
            </w:r>
          </w:p>
        </w:tc>
        <w:tc>
          <w:tcPr>
            <w:tcW w:w="26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Post-test</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Moyenne (/ 60 pts)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34,42 pts – 57,4 %</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53,61 pts – 89,4 %</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Médiane</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35,0 pts</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54,0 pts</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Score minimal</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23 pts – 38,3 %</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47 pts – 78,3 %</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Score maximal</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46 pts – 76,7 %</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58 pts – 96,7 %</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Écart-type</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4,32 pts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2,09 pts</w:t>
            </w:r>
          </w:p>
        </w:tc>
      </w:tr>
      <w:tr w:rsidR="002A5728">
        <w:tblPrEx>
          <w:tblCellMar>
            <w:top w:w="0" w:type="dxa"/>
            <w:bottom w:w="0" w:type="dxa"/>
          </w:tblCellMar>
        </w:tblPrEx>
        <w:tc>
          <w:tcPr>
            <w:tcW w:w="3826"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Gain moyen</w:t>
            </w:r>
          </w:p>
        </w:tc>
        <w:tc>
          <w:tcPr>
            <w:tcW w:w="260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+19,19 pts</w:t>
            </w:r>
          </w:p>
        </w:tc>
        <w:tc>
          <w:tcPr>
            <w:tcW w:w="260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+55,8 %</w:t>
            </w:r>
          </w:p>
        </w:tc>
      </w:tr>
    </w:tbl>
    <w:p w:rsidR="002A5728" w:rsidRDefault="002A572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A5728">
        <w:tblPrEx>
          <w:tblCellMar>
            <w:top w:w="0" w:type="dxa"/>
            <w:bottom w:w="0" w:type="dxa"/>
          </w:tblCellMar>
        </w:tblPrEx>
        <w:tc>
          <w:tcPr>
            <w:tcW w:w="9026" w:type="dxa"/>
            <w:tcBorders>
              <w:top w:val="single" w:sz="4" w:space="0" w:color="375623"/>
              <w:left w:val="single" w:sz="4" w:space="0" w:color="375623"/>
              <w:bottom w:val="single" w:sz="4" w:space="0" w:color="375623"/>
              <w:right w:val="single" w:sz="4" w:space="0" w:color="375623"/>
            </w:tcBorders>
            <w:shd w:val="clear" w:color="auto" w:fill="E2EFDA"/>
            <w:tcMar>
              <w:top w:w="120" w:type="dxa"/>
              <w:left w:w="200" w:type="dxa"/>
              <w:bottom w:w="120" w:type="dxa"/>
              <w:right w:w="200" w:type="dxa"/>
            </w:tcMar>
          </w:tcPr>
          <w:p w:rsidR="002A5728" w:rsidRDefault="00000000">
            <w:pPr>
              <w:spacing w:after="80"/>
            </w:pPr>
            <w:r>
              <w:rPr>
                <w:b/>
                <w:bCs/>
                <w:color w:val="375623"/>
                <w:sz w:val="23"/>
                <w:szCs w:val="23"/>
              </w:rPr>
              <w:t>✓ Constat majeur</w:t>
            </w:r>
          </w:p>
          <w:p w:rsidR="002A5728" w:rsidRDefault="00000000">
            <w:pPr>
              <w:jc w:val="both"/>
            </w:pPr>
            <w:r>
              <w:rPr>
                <w:sz w:val="21"/>
                <w:szCs w:val="21"/>
              </w:rPr>
              <w:t>La progression moyenne de +19,19 points (soit +55,8 % d'amélioration relative) entre le pré-test et le post-test illustre une acquisition significative des connaissances et compétences en remédiation. La totalité des 224 enseignants présents a enregistré une progression, sans aucune régression ni stabilité observée.</w:t>
            </w:r>
          </w:p>
        </w:tc>
      </w:tr>
    </w:tbl>
    <w:p w:rsidR="002A5728" w:rsidRDefault="002A5728">
      <w:pPr>
        <w:spacing w:after="160"/>
      </w:pPr>
    </w:p>
    <w:p w:rsidR="002A5728" w:rsidRDefault="00000000">
      <w:pPr>
        <w:pStyle w:val="Titre2"/>
      </w:pPr>
      <w:bookmarkStart w:id="14" w:name="_Toc230588185"/>
      <w:r>
        <w:t>4.3. Distribution des scores</w:t>
      </w:r>
      <w:bookmarkEnd w:id="14"/>
    </w:p>
    <w:p w:rsidR="002A5728" w:rsidRDefault="00000000">
      <w:pPr>
        <w:pStyle w:val="Titre3"/>
      </w:pPr>
      <w:bookmarkStart w:id="15" w:name="_Toc230588186"/>
      <w:r>
        <w:t>Pré-test : hétérogénéité et présence de lacunes</w:t>
      </w:r>
      <w:bookmarkEnd w:id="15"/>
    </w:p>
    <w:p w:rsidR="002A5728" w:rsidRDefault="00000000">
      <w:pPr>
        <w:spacing w:after="160"/>
        <w:jc w:val="both"/>
      </w:pPr>
      <w:r>
        <w:t>Avant la formation, les scores présentaient une distribution étalée, reflétant une inégalité des connaissances initiales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113"/>
        <w:gridCol w:w="1913"/>
        <w:gridCol w:w="1800"/>
      </w:tblGrid>
      <w:tr w:rsidR="002A5728">
        <w:tblPrEx>
          <w:tblCellMar>
            <w:top w:w="0" w:type="dxa"/>
            <w:bottom w:w="0" w:type="dxa"/>
          </w:tblCellMar>
        </w:tblPrEx>
        <w:trPr>
          <w:tblHeader/>
        </w:trPr>
        <w:tc>
          <w:tcPr>
            <w:tcW w:w="32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Tranche de score</w:t>
            </w:r>
          </w:p>
        </w:tc>
        <w:tc>
          <w:tcPr>
            <w:tcW w:w="21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Nb d'enseignants</w:t>
            </w:r>
          </w:p>
        </w:tc>
        <w:tc>
          <w:tcPr>
            <w:tcW w:w="19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Proportion</w:t>
            </w:r>
          </w:p>
        </w:tc>
        <w:tc>
          <w:tcPr>
            <w:tcW w:w="18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Interprétation</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En dessous de 30 pts (&lt; 50 %)</w:t>
            </w:r>
          </w:p>
        </w:tc>
        <w:tc>
          <w:tcPr>
            <w:tcW w:w="21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27</w:t>
            </w:r>
          </w:p>
        </w:tc>
        <w:tc>
          <w:tcPr>
            <w:tcW w:w="19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12,1 %</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Connaissances insuffisantes</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30 à 35 pts (50-58 %)</w:t>
            </w:r>
          </w:p>
        </w:tc>
        <w:tc>
          <w:tcPr>
            <w:tcW w:w="21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105</w:t>
            </w:r>
          </w:p>
        </w:tc>
        <w:tc>
          <w:tcPr>
            <w:tcW w:w="19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46,9 %</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Connaissances partielles</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lastRenderedPageBreak/>
              <w:t>36 à 40 pts (60-67 %)</w:t>
            </w:r>
          </w:p>
        </w:tc>
        <w:tc>
          <w:tcPr>
            <w:tcW w:w="21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76</w:t>
            </w:r>
          </w:p>
        </w:tc>
        <w:tc>
          <w:tcPr>
            <w:tcW w:w="19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33,9 %</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Connaissances satisfaisantes</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41 pts et plus (&gt; 68 %)</w:t>
            </w:r>
          </w:p>
        </w:tc>
        <w:tc>
          <w:tcPr>
            <w:tcW w:w="21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16</w:t>
            </w:r>
          </w:p>
        </w:tc>
        <w:tc>
          <w:tcPr>
            <w:tcW w:w="19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7,1 %</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Bonnes connaissances</w:t>
            </w:r>
          </w:p>
        </w:tc>
      </w:tr>
    </w:tbl>
    <w:p w:rsidR="002A5728" w:rsidRDefault="002A5728">
      <w:pPr>
        <w:spacing w:after="160"/>
      </w:pPr>
    </w:p>
    <w:p w:rsidR="002A5728" w:rsidRDefault="00000000">
      <w:pPr>
        <w:pStyle w:val="Titre3"/>
      </w:pPr>
      <w:bookmarkStart w:id="16" w:name="_Toc230588187"/>
      <w:r>
        <w:t>Post-test : convergence vers la maîtrise</w:t>
      </w:r>
      <w:bookmarkEnd w:id="16"/>
    </w:p>
    <w:p w:rsidR="002A5728" w:rsidRDefault="00000000">
      <w:pPr>
        <w:spacing w:after="160"/>
        <w:jc w:val="both"/>
      </w:pPr>
      <w:r>
        <w:t>Après la formation, la distribution s'est considérablement resserrée, témoignant d'une homogénéisation des niveaux à la hausse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113"/>
        <w:gridCol w:w="1913"/>
        <w:gridCol w:w="1800"/>
      </w:tblGrid>
      <w:tr w:rsidR="002A5728">
        <w:tblPrEx>
          <w:tblCellMar>
            <w:top w:w="0" w:type="dxa"/>
            <w:bottom w:w="0" w:type="dxa"/>
          </w:tblCellMar>
        </w:tblPrEx>
        <w:trPr>
          <w:tblHeader/>
        </w:trPr>
        <w:tc>
          <w:tcPr>
            <w:tcW w:w="32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Tranche de score</w:t>
            </w:r>
          </w:p>
        </w:tc>
        <w:tc>
          <w:tcPr>
            <w:tcW w:w="21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Nb d'enseignants</w:t>
            </w:r>
          </w:p>
        </w:tc>
        <w:tc>
          <w:tcPr>
            <w:tcW w:w="19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Proportion</w:t>
            </w:r>
          </w:p>
        </w:tc>
        <w:tc>
          <w:tcPr>
            <w:tcW w:w="18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Niveau</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47 à 49 pts (78-82 %)</w:t>
            </w:r>
          </w:p>
        </w:tc>
        <w:tc>
          <w:tcPr>
            <w:tcW w:w="21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6</w:t>
            </w:r>
          </w:p>
        </w:tc>
        <w:tc>
          <w:tcPr>
            <w:tcW w:w="19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2,7 %</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Satisfaisant</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50 à 52 pts (83-87 %)</w:t>
            </w:r>
          </w:p>
        </w:tc>
        <w:tc>
          <w:tcPr>
            <w:tcW w:w="21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55</w:t>
            </w:r>
          </w:p>
        </w:tc>
        <w:tc>
          <w:tcPr>
            <w:tcW w:w="19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24,6 %</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Bien</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53 à 55 pts (88-92 %)</w:t>
            </w:r>
          </w:p>
        </w:tc>
        <w:tc>
          <w:tcPr>
            <w:tcW w:w="21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122</w:t>
            </w:r>
          </w:p>
        </w:tc>
        <w:tc>
          <w:tcPr>
            <w:tcW w:w="19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54,4 %</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Très bien</w:t>
            </w:r>
          </w:p>
        </w:tc>
      </w:tr>
      <w:tr w:rsidR="002A572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56 à 58 pts (93-97 %)</w:t>
            </w:r>
          </w:p>
        </w:tc>
        <w:tc>
          <w:tcPr>
            <w:tcW w:w="21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41</w:t>
            </w:r>
          </w:p>
        </w:tc>
        <w:tc>
          <w:tcPr>
            <w:tcW w:w="19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18,3 %</w:t>
            </w:r>
          </w:p>
        </w:tc>
        <w:tc>
          <w:tcPr>
            <w:tcW w:w="180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Excellent</w:t>
            </w:r>
          </w:p>
        </w:tc>
      </w:tr>
    </w:tbl>
    <w:p w:rsidR="002A5728" w:rsidRDefault="002A5728">
      <w:pPr>
        <w:spacing w:after="160"/>
      </w:pPr>
    </w:p>
    <w:p w:rsidR="002A5728" w:rsidRDefault="00000000">
      <w:pPr>
        <w:pStyle w:val="Titre2"/>
      </w:pPr>
      <w:bookmarkStart w:id="17" w:name="_Toc230588188"/>
      <w:r>
        <w:t>4.4. Analyse de la progression individuelle</w:t>
      </w:r>
      <w:bookmarkEnd w:id="17"/>
    </w:p>
    <w:p w:rsidR="002A5728" w:rsidRDefault="00000000">
      <w:pPr>
        <w:spacing w:after="160"/>
        <w:jc w:val="both"/>
      </w:pPr>
      <w:r>
        <w:t>L'analyse des gains individuels révèle une progression remarquablement universelle et consistante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2A5728">
        <w:tblPrEx>
          <w:tblCellMar>
            <w:top w:w="0" w:type="dxa"/>
            <w:bottom w:w="0" w:type="dxa"/>
          </w:tblCellMar>
        </w:tblPrEx>
        <w:trPr>
          <w:tblHeader/>
        </w:trPr>
        <w:tc>
          <w:tcPr>
            <w:tcW w:w="45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Indicateur</w:t>
            </w:r>
          </w:p>
        </w:tc>
        <w:tc>
          <w:tcPr>
            <w:tcW w:w="4513"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Valeur</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Enseignants en progression</w:t>
            </w:r>
          </w:p>
        </w:tc>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224 / 224 (100 %)</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Enseignants stables (0 point de gain)</w:t>
            </w:r>
          </w:p>
        </w:tc>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0 (0 %)</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Enseignants en régression</w:t>
            </w:r>
          </w:p>
        </w:tc>
        <w:tc>
          <w:tcPr>
            <w:tcW w:w="4513"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0 (0 %)</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Gain individuel minimal</w:t>
            </w:r>
          </w:p>
        </w:tc>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+6 points</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Gain individuel maximal</w:t>
            </w:r>
          </w:p>
        </w:tc>
        <w:tc>
          <w:tcPr>
            <w:tcW w:w="4513"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+32 points</w:t>
            </w:r>
          </w:p>
        </w:tc>
      </w:tr>
      <w:tr w:rsidR="002A5728">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Gain médian</w:t>
            </w:r>
          </w:p>
        </w:tc>
        <w:tc>
          <w:tcPr>
            <w:tcW w:w="4513" w:type="dxa"/>
            <w:tcBorders>
              <w:top w:val="single" w:sz="1" w:space="0" w:color="CCCCCC"/>
              <w:left w:val="single" w:sz="1" w:space="0" w:color="CCCCCC"/>
              <w:bottom w:val="single" w:sz="1" w:space="0" w:color="CCCCCC"/>
              <w:right w:val="single" w:sz="1" w:space="0" w:color="CCCCCC"/>
            </w:tcBorders>
            <w:shd w:val="clear" w:color="auto" w:fill="E2EFDA"/>
            <w:tcMar>
              <w:top w:w="60" w:type="dxa"/>
              <w:left w:w="120" w:type="dxa"/>
              <w:bottom w:w="60" w:type="dxa"/>
              <w:right w:w="120" w:type="dxa"/>
            </w:tcMar>
            <w:vAlign w:val="center"/>
          </w:tcPr>
          <w:p w:rsidR="002A5728" w:rsidRDefault="00000000">
            <w:pPr>
              <w:jc w:val="center"/>
            </w:pPr>
            <w:r>
              <w:rPr>
                <w:sz w:val="20"/>
                <w:szCs w:val="20"/>
              </w:rPr>
              <w:t>+19 points</w:t>
            </w:r>
          </w:p>
        </w:tc>
      </w:tr>
    </w:tbl>
    <w:p w:rsidR="002A5728" w:rsidRDefault="002A572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A5728">
        <w:tblPrEx>
          <w:tblCellMar>
            <w:top w:w="0" w:type="dxa"/>
            <w:bottom w:w="0" w:type="dxa"/>
          </w:tblCellMar>
        </w:tblPrEx>
        <w:tc>
          <w:tcPr>
            <w:tcW w:w="9026" w:type="dxa"/>
            <w:tcBorders>
              <w:top w:val="single" w:sz="4" w:space="0" w:color="7F4E00"/>
              <w:left w:val="single" w:sz="4" w:space="0" w:color="7F4E00"/>
              <w:bottom w:val="single" w:sz="4" w:space="0" w:color="7F4E00"/>
              <w:right w:val="single" w:sz="4" w:space="0" w:color="7F4E00"/>
            </w:tcBorders>
            <w:shd w:val="clear" w:color="auto" w:fill="FFF2CC"/>
            <w:tcMar>
              <w:top w:w="120" w:type="dxa"/>
              <w:left w:w="200" w:type="dxa"/>
              <w:bottom w:w="120" w:type="dxa"/>
              <w:right w:w="200" w:type="dxa"/>
            </w:tcMar>
          </w:tcPr>
          <w:p w:rsidR="002A5728" w:rsidRDefault="00000000">
            <w:pPr>
              <w:spacing w:after="80"/>
            </w:pPr>
            <w:r>
              <w:rPr>
                <w:b/>
                <w:bCs/>
                <w:color w:val="7F4E00"/>
                <w:sz w:val="23"/>
                <w:szCs w:val="23"/>
              </w:rPr>
              <w:t>Réduction de l'hétérogénéité</w:t>
            </w:r>
          </w:p>
          <w:p w:rsidR="002A5728" w:rsidRDefault="00000000">
            <w:pPr>
              <w:jc w:val="both"/>
            </w:pPr>
            <w:r>
              <w:rPr>
                <w:sz w:val="21"/>
                <w:szCs w:val="21"/>
              </w:rPr>
              <w:t>L'écart-type est passé de 4,32 points au pré-test à 2,09 points au post-test, soit une réduction de 52 %. Cela indique que la formation a non seulement tiré les scores vers le haut, mais a également significativement réduit les inégalités entre les enseignants les plus et les moins avertis. Les enseignants partant avec les scores les plus faibles ont généralement enregistré les gains les plus importants (jusqu'à +32 points).</w:t>
            </w:r>
          </w:p>
        </w:tc>
      </w:tr>
    </w:tbl>
    <w:p w:rsidR="002A5728" w:rsidRDefault="002A5728">
      <w:pPr>
        <w:spacing w:after="160"/>
      </w:pPr>
    </w:p>
    <w:p w:rsidR="002A5728" w:rsidRDefault="00000000">
      <w:pPr>
        <w:pStyle w:val="Titre2"/>
      </w:pPr>
      <w:bookmarkStart w:id="18" w:name="_Toc230588189"/>
      <w:r>
        <w:t>4.5. Analyse thématique du questionnaire</w:t>
      </w:r>
      <w:bookmarkEnd w:id="18"/>
    </w:p>
    <w:p w:rsidR="002A5728" w:rsidRDefault="00000000">
      <w:pPr>
        <w:spacing w:after="160"/>
        <w:jc w:val="both"/>
      </w:pPr>
      <w:r>
        <w:t>Le questionnaire couvrait cinq grandes thématiques. Les résultats du post-test montrent que les enseignants ont acquis une bonne maîtrise sur l'ensemble des dimensions évaluées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6"/>
        <w:gridCol w:w="2100"/>
        <w:gridCol w:w="2100"/>
      </w:tblGrid>
      <w:tr w:rsidR="002A5728">
        <w:tblPrEx>
          <w:tblCellMar>
            <w:top w:w="0" w:type="dxa"/>
            <w:bottom w:w="0" w:type="dxa"/>
          </w:tblCellMar>
        </w:tblPrEx>
        <w:trPr>
          <w:tblHeader/>
        </w:trPr>
        <w:tc>
          <w:tcPr>
            <w:tcW w:w="4826"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Thématique</w:t>
            </w:r>
          </w:p>
        </w:tc>
        <w:tc>
          <w:tcPr>
            <w:tcW w:w="21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Questions</w:t>
            </w:r>
          </w:p>
        </w:tc>
        <w:tc>
          <w:tcPr>
            <w:tcW w:w="21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Score max</w:t>
            </w:r>
          </w:p>
        </w:tc>
      </w:tr>
      <w:tr w:rsidR="002A5728">
        <w:tblPrEx>
          <w:tblCellMar>
            <w:top w:w="0" w:type="dxa"/>
            <w:bottom w:w="0" w:type="dxa"/>
          </w:tblCellMar>
        </w:tblPrEx>
        <w:tc>
          <w:tcPr>
            <w:tcW w:w="4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Définition et principes de la remédiation (Q1-Q2)</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Q1, Q2</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6 pts</w:t>
            </w:r>
          </w:p>
        </w:tc>
      </w:tr>
      <w:tr w:rsidR="002A5728">
        <w:tblPrEx>
          <w:tblCellMar>
            <w:top w:w="0" w:type="dxa"/>
            <w:bottom w:w="0" w:type="dxa"/>
          </w:tblCellMar>
        </w:tblPrEx>
        <w:tc>
          <w:tcPr>
            <w:tcW w:w="48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lastRenderedPageBreak/>
              <w:t>Identification des difficultés et timing (Q3-Q4)</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Q3, Q4</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7 pts</w:t>
            </w:r>
          </w:p>
        </w:tc>
      </w:tr>
      <w:tr w:rsidR="002A5728">
        <w:tblPrEx>
          <w:tblCellMar>
            <w:top w:w="0" w:type="dxa"/>
            <w:bottom w:w="0" w:type="dxa"/>
          </w:tblCellMar>
        </w:tblPrEx>
        <w:tc>
          <w:tcPr>
            <w:tcW w:w="4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Outils de suivi et pratiques d’étayage (Q5-Q10)</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Q5 à Q10</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18 pts</w:t>
            </w:r>
          </w:p>
        </w:tc>
      </w:tr>
      <w:tr w:rsidR="002A5728">
        <w:tblPrEx>
          <w:tblCellMar>
            <w:top w:w="0" w:type="dxa"/>
            <w:bottom w:w="0" w:type="dxa"/>
          </w:tblCellMar>
        </w:tblPrEx>
        <w:tc>
          <w:tcPr>
            <w:tcW w:w="48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Planification et capitalisation (Q11-Q15)</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Q11 à Q15</w:t>
            </w:r>
          </w:p>
        </w:tc>
        <w:tc>
          <w:tcPr>
            <w:tcW w:w="2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15 pts</w:t>
            </w:r>
          </w:p>
        </w:tc>
      </w:tr>
      <w:tr w:rsidR="002A5728">
        <w:tblPrEx>
          <w:tblCellMar>
            <w:top w:w="0" w:type="dxa"/>
            <w:bottom w:w="0" w:type="dxa"/>
          </w:tblCellMar>
        </w:tblPrEx>
        <w:tc>
          <w:tcPr>
            <w:tcW w:w="4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Bien-être socio-émotionnel et égalité de genre (Q16-Q19)</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Q16 à Q19</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14 pts</w:t>
            </w:r>
          </w:p>
        </w:tc>
      </w:tr>
    </w:tbl>
    <w:p w:rsidR="002A5728" w:rsidRDefault="002A5728">
      <w:pPr>
        <w:spacing w:after="200"/>
      </w:pPr>
    </w:p>
    <w:p w:rsidR="002A5728" w:rsidRDefault="00000000">
      <w:pPr>
        <w:pStyle w:val="Titre1"/>
        <w:pageBreakBefore/>
      </w:pPr>
      <w:bookmarkStart w:id="19" w:name="_Toc230588190"/>
      <w:r>
        <w:lastRenderedPageBreak/>
        <w:t>V. Cadre d’observation et de supervision</w:t>
      </w:r>
      <w:bookmarkEnd w:id="19"/>
    </w:p>
    <w:p w:rsidR="002A5728" w:rsidRDefault="002A5728">
      <w:pPr>
        <w:pBdr>
          <w:bottom w:val="single" w:sz="8" w:space="4" w:color="1F497D"/>
        </w:pBdr>
        <w:spacing w:after="160"/>
      </w:pPr>
    </w:p>
    <w:p w:rsidR="002A5728" w:rsidRDefault="00000000">
      <w:pPr>
        <w:pStyle w:val="Titre2"/>
      </w:pPr>
      <w:bookmarkStart w:id="20" w:name="_Toc230588191"/>
      <w:r>
        <w:t>5.1. La grille d’évaluation de l’expérimentation</w:t>
      </w:r>
      <w:bookmarkEnd w:id="20"/>
    </w:p>
    <w:p w:rsidR="002A5728" w:rsidRDefault="00000000">
      <w:pPr>
        <w:spacing w:after="160"/>
        <w:jc w:val="both"/>
      </w:pPr>
      <w:r>
        <w:t>Parallèlement au dispositif de test de connaissances, une grille d'évaluation de l'expérimentation a été conçue pour recueillir l'auto-évaluation des enseignants sur leur pratique réelle en classe. Elle couvre six volets :</w:t>
      </w:r>
    </w:p>
    <w:p w:rsidR="002A5728" w:rsidRDefault="002A5728">
      <w:pPr>
        <w:spacing w:after="80"/>
      </w:pPr>
    </w:p>
    <w:p w:rsidR="002A5728" w:rsidRDefault="00000000">
      <w:pPr>
        <w:pStyle w:val="Paragraphedeliste"/>
        <w:numPr>
          <w:ilvl w:val="0"/>
          <w:numId w:val="2"/>
        </w:numPr>
        <w:spacing w:after="80"/>
      </w:pPr>
      <w:r>
        <w:t>La planification et le déroulement méthodologique des séances de remédiation ;</w:t>
      </w:r>
    </w:p>
    <w:p w:rsidR="002A5728" w:rsidRDefault="00000000">
      <w:pPr>
        <w:pStyle w:val="Paragraphedeliste"/>
        <w:numPr>
          <w:ilvl w:val="0"/>
          <w:numId w:val="2"/>
        </w:numPr>
        <w:spacing w:after="80"/>
      </w:pPr>
      <w:r>
        <w:t>L'organisation de la classe et les modalités de groupement flexible ;</w:t>
      </w:r>
    </w:p>
    <w:p w:rsidR="002A5728" w:rsidRDefault="00000000">
      <w:pPr>
        <w:pStyle w:val="Paragraphedeliste"/>
        <w:numPr>
          <w:ilvl w:val="0"/>
          <w:numId w:val="2"/>
        </w:numPr>
        <w:spacing w:after="80"/>
      </w:pPr>
      <w:r>
        <w:t>L'adéquation des ressources matérielles et pédagogiques (fiches élèves, guides enseignants) ;</w:t>
      </w:r>
    </w:p>
    <w:p w:rsidR="002A5728" w:rsidRDefault="00000000">
      <w:pPr>
        <w:pStyle w:val="Paragraphedeliste"/>
        <w:numPr>
          <w:ilvl w:val="0"/>
          <w:numId w:val="2"/>
        </w:numPr>
        <w:spacing w:after="80"/>
      </w:pPr>
      <w:r>
        <w:t>L'appropriation conceptuelle du dispositif par l'enseignant ;</w:t>
      </w:r>
    </w:p>
    <w:p w:rsidR="002A5728" w:rsidRDefault="00000000">
      <w:pPr>
        <w:pStyle w:val="Paragraphedeliste"/>
        <w:numPr>
          <w:ilvl w:val="0"/>
          <w:numId w:val="2"/>
        </w:numPr>
        <w:spacing w:after="80"/>
      </w:pPr>
      <w:r>
        <w:t>La satisfaction à l'égard de la participation à la phase pilote ;</w:t>
      </w:r>
    </w:p>
    <w:p w:rsidR="002A5728" w:rsidRDefault="00000000">
      <w:pPr>
        <w:pStyle w:val="Paragraphedeliste"/>
        <w:numPr>
          <w:ilvl w:val="0"/>
          <w:numId w:val="2"/>
        </w:numPr>
        <w:spacing w:after="80"/>
      </w:pPr>
      <w:r>
        <w:t>Les difficultés rencontrées et les propositions d'amélioration.</w:t>
      </w:r>
    </w:p>
    <w:p w:rsidR="002A5728" w:rsidRDefault="002A5728">
      <w:pPr>
        <w:spacing w:after="160"/>
      </w:pPr>
    </w:p>
    <w:p w:rsidR="002A5728" w:rsidRDefault="00000000">
      <w:pPr>
        <w:pStyle w:val="Titre2"/>
      </w:pPr>
      <w:bookmarkStart w:id="21" w:name="_Toc230588192"/>
      <w:r>
        <w:t>5.2. La grille de supervision des enseignants</w:t>
      </w:r>
      <w:bookmarkEnd w:id="21"/>
    </w:p>
    <w:p w:rsidR="002A5728" w:rsidRDefault="00000000">
      <w:pPr>
        <w:spacing w:after="160"/>
        <w:jc w:val="both"/>
      </w:pPr>
      <w:r>
        <w:t>La grille de supervision (notée sur 100 points, échelle de 0 à 3 : Inexistant, Insuffisant, Satisfaisant, Très satisfaisant) permet au superviseur pédagogique d'observer et d'apprécier les pratiques enseignantes en situation réelle. Elle comporte 34 indicateurs répartis en quatre domaines :</w:t>
      </w:r>
    </w:p>
    <w:p w:rsidR="002A5728" w:rsidRDefault="002A5728">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5026"/>
        <w:gridCol w:w="1500"/>
      </w:tblGrid>
      <w:tr w:rsidR="002A5728">
        <w:tblPrEx>
          <w:tblCellMar>
            <w:top w:w="0" w:type="dxa"/>
            <w:bottom w:w="0" w:type="dxa"/>
          </w:tblCellMar>
        </w:tblPrEx>
        <w:trPr>
          <w:tblHeader/>
        </w:trPr>
        <w:tc>
          <w:tcPr>
            <w:tcW w:w="25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Domaine</w:t>
            </w:r>
          </w:p>
        </w:tc>
        <w:tc>
          <w:tcPr>
            <w:tcW w:w="5026"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Exemples d'indicateurs observés</w:t>
            </w:r>
          </w:p>
        </w:tc>
        <w:tc>
          <w:tcPr>
            <w:tcW w:w="1500" w:type="dxa"/>
            <w:tcBorders>
              <w:top w:val="single" w:sz="4" w:space="0" w:color="1F497D"/>
              <w:left w:val="single" w:sz="4" w:space="0" w:color="1F497D"/>
              <w:bottom w:val="single" w:sz="4" w:space="0" w:color="1F497D"/>
              <w:right w:val="single" w:sz="4" w:space="0" w:color="1F497D"/>
            </w:tcBorders>
            <w:shd w:val="clear" w:color="auto" w:fill="1F497D"/>
            <w:tcMar>
              <w:top w:w="80" w:type="dxa"/>
              <w:left w:w="120" w:type="dxa"/>
              <w:bottom w:w="80" w:type="dxa"/>
              <w:right w:w="120" w:type="dxa"/>
            </w:tcMar>
            <w:vAlign w:val="center"/>
          </w:tcPr>
          <w:p w:rsidR="002A5728" w:rsidRDefault="00000000">
            <w:pPr>
              <w:jc w:val="center"/>
            </w:pPr>
            <w:r>
              <w:rPr>
                <w:b/>
                <w:bCs/>
                <w:color w:val="FFFFFF"/>
                <w:sz w:val="20"/>
                <w:szCs w:val="20"/>
              </w:rPr>
              <w:t>Poids</w:t>
            </w:r>
          </w:p>
        </w:tc>
      </w:tr>
      <w:tr w:rsidR="002A5728">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Compétences pédagogiques</w:t>
            </w:r>
          </w:p>
        </w:tc>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Engagement des élèves, étayage, traitement de l'erreur, autonomie, différenciation, temps didactique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69 %</w:t>
            </w:r>
          </w:p>
        </w:tc>
      </w:tr>
      <w:tr w:rsidR="002A5728">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Documents pédagogiques</w:t>
            </w:r>
          </w:p>
        </w:tc>
        <w:tc>
          <w:tcPr>
            <w:tcW w:w="50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Cahier de textes, fiche de suivi des séances</w:t>
            </w:r>
          </w:p>
        </w:tc>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9 %</w:t>
            </w:r>
          </w:p>
        </w:tc>
      </w:tr>
      <w:tr w:rsidR="002A5728">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r>
              <w:rPr>
                <w:sz w:val="20"/>
                <w:szCs w:val="20"/>
              </w:rPr>
              <w:t>Éthique et déontologie</w:t>
            </w:r>
          </w:p>
        </w:tc>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Comportement, mise en confiance, valorisation des progrès, ponctualité</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5728" w:rsidRDefault="00000000">
            <w:pPr>
              <w:jc w:val="center"/>
            </w:pPr>
            <w:r>
              <w:rPr>
                <w:sz w:val="20"/>
                <w:szCs w:val="20"/>
              </w:rPr>
              <w:t>16 %</w:t>
            </w:r>
          </w:p>
        </w:tc>
      </w:tr>
      <w:tr w:rsidR="002A5728">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r>
              <w:rPr>
                <w:sz w:val="20"/>
                <w:szCs w:val="20"/>
              </w:rPr>
              <w:t>Utilisation du matériel</w:t>
            </w:r>
          </w:p>
        </w:tc>
        <w:tc>
          <w:tcPr>
            <w:tcW w:w="50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Usage des guides et fiches, alternatives en cas de manque</w:t>
            </w:r>
          </w:p>
        </w:tc>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20" w:type="dxa"/>
              <w:bottom w:w="60" w:type="dxa"/>
              <w:right w:w="120" w:type="dxa"/>
            </w:tcMar>
            <w:vAlign w:val="center"/>
          </w:tcPr>
          <w:p w:rsidR="002A5728" w:rsidRDefault="00000000">
            <w:pPr>
              <w:jc w:val="center"/>
            </w:pPr>
            <w:r>
              <w:rPr>
                <w:sz w:val="20"/>
                <w:szCs w:val="20"/>
              </w:rPr>
              <w:t>6 %</w:t>
            </w:r>
          </w:p>
        </w:tc>
      </w:tr>
    </w:tbl>
    <w:p w:rsidR="002A5728" w:rsidRDefault="002A5728">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A5728">
        <w:tblPrEx>
          <w:tblCellMar>
            <w:top w:w="0" w:type="dxa"/>
            <w:bottom w:w="0" w:type="dxa"/>
          </w:tblCellMar>
        </w:tblPrEx>
        <w:tc>
          <w:tcPr>
            <w:tcW w:w="9026" w:type="dxa"/>
            <w:tcBorders>
              <w:top w:val="single" w:sz="4" w:space="0" w:color="1F497D"/>
              <w:left w:val="single" w:sz="4" w:space="0" w:color="1F497D"/>
              <w:bottom w:val="single" w:sz="4" w:space="0" w:color="1F497D"/>
              <w:right w:val="single" w:sz="4" w:space="0" w:color="1F497D"/>
            </w:tcBorders>
            <w:shd w:val="clear" w:color="auto" w:fill="D6E4F0"/>
            <w:tcMar>
              <w:top w:w="120" w:type="dxa"/>
              <w:left w:w="200" w:type="dxa"/>
              <w:bottom w:w="120" w:type="dxa"/>
              <w:right w:w="200" w:type="dxa"/>
            </w:tcMar>
          </w:tcPr>
          <w:p w:rsidR="002A5728" w:rsidRDefault="00000000">
            <w:pPr>
              <w:spacing w:after="80"/>
            </w:pPr>
            <w:r>
              <w:rPr>
                <w:b/>
                <w:bCs/>
                <w:color w:val="1F497D"/>
                <w:sz w:val="23"/>
                <w:szCs w:val="23"/>
              </w:rPr>
              <w:t>Importance de la supervision</w:t>
            </w:r>
          </w:p>
          <w:p w:rsidR="002A5728" w:rsidRDefault="00000000">
            <w:pPr>
              <w:jc w:val="both"/>
            </w:pPr>
            <w:r>
              <w:rPr>
                <w:sz w:val="21"/>
                <w:szCs w:val="21"/>
              </w:rPr>
              <w:t>La grille de supervision couvre des indicateurs de haute valeur pédagogique : la posture d'étayage de l'enseignant (« poser des questions qui aident à réfléchir sans donner la réponse »), la gestion de l'erreur comme levier d'apprentissage, et la différenciation effective via les tableaux de réussite. Ces dimensions témoignent d'un dispositif exigeant, fondé sur des pratiques contemporaines de l'enseignement efficace.</w:t>
            </w:r>
          </w:p>
        </w:tc>
      </w:tr>
    </w:tbl>
    <w:p w:rsidR="002A5728" w:rsidRDefault="002A5728">
      <w:pPr>
        <w:spacing w:after="200"/>
      </w:pPr>
    </w:p>
    <w:p w:rsidR="002A5728" w:rsidRDefault="00000000">
      <w:pPr>
        <w:pStyle w:val="Titre1"/>
        <w:pageBreakBefore/>
      </w:pPr>
      <w:bookmarkStart w:id="22" w:name="_Toc230588193"/>
      <w:r>
        <w:lastRenderedPageBreak/>
        <w:t>VI. Analyse et enseignements du dispositif</w:t>
      </w:r>
      <w:bookmarkEnd w:id="22"/>
    </w:p>
    <w:p w:rsidR="002A5728" w:rsidRDefault="002A5728">
      <w:pPr>
        <w:pBdr>
          <w:bottom w:val="single" w:sz="8" w:space="4" w:color="1F497D"/>
        </w:pBdr>
        <w:spacing w:after="160"/>
      </w:pPr>
    </w:p>
    <w:p w:rsidR="002A5728" w:rsidRDefault="00000000">
      <w:pPr>
        <w:pStyle w:val="Titre2"/>
      </w:pPr>
      <w:bookmarkStart w:id="23" w:name="_Toc230588194"/>
      <w:r>
        <w:t>6.1. Points forts du dispositif</w:t>
      </w:r>
      <w:bookmarkEnd w:id="23"/>
    </w:p>
    <w:p w:rsidR="002A5728" w:rsidRDefault="002A5728">
      <w:pPr>
        <w:spacing w:after="80"/>
      </w:pPr>
    </w:p>
    <w:p w:rsidR="002A5728" w:rsidRDefault="00000000">
      <w:pPr>
        <w:pStyle w:val="Paragraphedeliste"/>
        <w:numPr>
          <w:ilvl w:val="0"/>
          <w:numId w:val="2"/>
        </w:numPr>
        <w:spacing w:after="80"/>
      </w:pPr>
      <w:r>
        <w:t xml:space="preserve">Taux de progression universel : 100 % des 224 enseignants présents ont </w:t>
      </w:r>
      <w:proofErr w:type="spellStart"/>
      <w:r>
        <w:t>progréssé</w:t>
      </w:r>
      <w:proofErr w:type="spellEnd"/>
      <w:r>
        <w:t>, ce qui constitue un résultat exceptionnel et valide la robustesse de la démarche pédagogique adoptée ;</w:t>
      </w:r>
    </w:p>
    <w:p w:rsidR="002A5728" w:rsidRDefault="00000000">
      <w:pPr>
        <w:pStyle w:val="Paragraphedeliste"/>
        <w:numPr>
          <w:ilvl w:val="0"/>
          <w:numId w:val="2"/>
        </w:numPr>
        <w:spacing w:after="80"/>
      </w:pPr>
      <w:r>
        <w:t xml:space="preserve">Amplitude de la progression : le gain moyen de +19,19 points (de 57,4 % à 89,4 % du score maximal) </w:t>
      </w:r>
      <w:proofErr w:type="gramStart"/>
      <w:r>
        <w:t>témoigne</w:t>
      </w:r>
      <w:proofErr w:type="gramEnd"/>
      <w:r>
        <w:t xml:space="preserve"> d'une transformation réelle des représentations et compétences des enseignants ;</w:t>
      </w:r>
    </w:p>
    <w:p w:rsidR="002A5728" w:rsidRDefault="00000000">
      <w:pPr>
        <w:pStyle w:val="Paragraphedeliste"/>
        <w:numPr>
          <w:ilvl w:val="0"/>
          <w:numId w:val="2"/>
        </w:numPr>
        <w:spacing w:after="80"/>
      </w:pPr>
      <w:r>
        <w:t>Réduction des inégalités : l'écart-type a diminué de moitié, indiquant que le dispositif profite prioritairement aux enseignants les plus éloignés de la pratique de la remédiation ;</w:t>
      </w:r>
    </w:p>
    <w:p w:rsidR="002A5728" w:rsidRDefault="00000000">
      <w:pPr>
        <w:pStyle w:val="Paragraphedeliste"/>
        <w:numPr>
          <w:ilvl w:val="0"/>
          <w:numId w:val="2"/>
        </w:numPr>
        <w:spacing w:after="80"/>
      </w:pPr>
      <w:r>
        <w:t>Intégration de la dimension genre : le dispositif intègre explicitement l'égalité filles-garçons et le bien-être socio-émotionnel comme dimensions stratégiques de la qualité de l'enseignement ;</w:t>
      </w:r>
    </w:p>
    <w:p w:rsidR="002A5728" w:rsidRDefault="00000000">
      <w:pPr>
        <w:pStyle w:val="Paragraphedeliste"/>
        <w:numPr>
          <w:ilvl w:val="0"/>
          <w:numId w:val="2"/>
        </w:numPr>
        <w:spacing w:after="80"/>
      </w:pPr>
      <w:r>
        <w:t>Outillage structuré : les guides enseignants, fiches élèves, grilles de supervision et outils de suivi (Exit Ticket, tableau collectif de progrès, carnet de bord) constituent un écosystème cohérent et actionnable.</w:t>
      </w:r>
    </w:p>
    <w:p w:rsidR="002A5728" w:rsidRDefault="002A5728">
      <w:pPr>
        <w:spacing w:after="160"/>
      </w:pPr>
    </w:p>
    <w:p w:rsidR="002A5728" w:rsidRDefault="00000000">
      <w:pPr>
        <w:pStyle w:val="Titre2"/>
      </w:pPr>
      <w:bookmarkStart w:id="24" w:name="_Toc230588195"/>
      <w:r>
        <w:t>6.2. Points de vigilance</w:t>
      </w:r>
      <w:bookmarkEnd w:id="24"/>
    </w:p>
    <w:p w:rsidR="002A5728" w:rsidRDefault="002A5728">
      <w:pPr>
        <w:spacing w:after="80"/>
      </w:pPr>
    </w:p>
    <w:p w:rsidR="002A5728" w:rsidRDefault="00000000">
      <w:pPr>
        <w:pStyle w:val="Paragraphedeliste"/>
        <w:numPr>
          <w:ilvl w:val="0"/>
          <w:numId w:val="2"/>
        </w:numPr>
        <w:spacing w:after="80"/>
      </w:pPr>
      <w:r>
        <w:t>Très forte progression à confirmer en pratique : les résultats du post-test mesurent des connaissances déclarées. Il convient de compléter cette analyse par un suivi des pratiques effectives en classe (via les grilles de supervision) pour mesurer le transfert des apprentissages ;</w:t>
      </w:r>
    </w:p>
    <w:p w:rsidR="002A5728" w:rsidRDefault="00000000">
      <w:pPr>
        <w:pStyle w:val="Paragraphedeliste"/>
        <w:numPr>
          <w:ilvl w:val="0"/>
          <w:numId w:val="2"/>
        </w:numPr>
        <w:spacing w:after="80"/>
      </w:pPr>
      <w:r>
        <w:t>Hétérogénéité résiduelle : si 72,7 % des enseignants atteignent une note supérieure à 53/60 au post-test, 2,7 % restent à des scores de 47-49/60, nécessitant un accompagnement renforcé ;</w:t>
      </w:r>
    </w:p>
    <w:p w:rsidR="002A5728" w:rsidRDefault="00000000">
      <w:pPr>
        <w:pStyle w:val="Paragraphedeliste"/>
        <w:numPr>
          <w:ilvl w:val="0"/>
          <w:numId w:val="2"/>
        </w:numPr>
        <w:spacing w:after="80"/>
      </w:pPr>
      <w:r>
        <w:t>Risque de la phase pilote : l'expérimentation étant circonscrite à quatre DRENAET, le passage à l'échelle devra intégrer des adaptations contextuelles pour d'autres régions ;</w:t>
      </w:r>
    </w:p>
    <w:p w:rsidR="002A5728" w:rsidRDefault="00000000">
      <w:pPr>
        <w:pStyle w:val="Paragraphedeliste"/>
        <w:numPr>
          <w:ilvl w:val="0"/>
          <w:numId w:val="2"/>
        </w:numPr>
        <w:spacing w:after="80"/>
      </w:pPr>
      <w:r>
        <w:t>Ressources pédagogiques : l'adaptation des fiches et guides à chaque niveau (6ᵉᵐᵉ au 3ᵉᵐᵉ) et à chaque discipline constitue un chantier de maintenance continue indispensable.</w:t>
      </w:r>
    </w:p>
    <w:p w:rsidR="002A5728" w:rsidRDefault="002A5728">
      <w:pPr>
        <w:spacing w:after="200"/>
      </w:pPr>
    </w:p>
    <w:p w:rsidR="002A5728" w:rsidRDefault="00000000">
      <w:pPr>
        <w:pStyle w:val="Titre1"/>
        <w:pageBreakBefore/>
      </w:pPr>
      <w:bookmarkStart w:id="25" w:name="_Toc230588196"/>
      <w:r>
        <w:lastRenderedPageBreak/>
        <w:t>VII. Recommandations</w:t>
      </w:r>
      <w:bookmarkEnd w:id="25"/>
    </w:p>
    <w:p w:rsidR="002A5728" w:rsidRDefault="002A5728">
      <w:pPr>
        <w:pBdr>
          <w:bottom w:val="single" w:sz="8" w:space="4" w:color="1F497D"/>
        </w:pBdr>
        <w:spacing w:after="160"/>
      </w:pPr>
    </w:p>
    <w:p w:rsidR="002A5728" w:rsidRDefault="00000000">
      <w:pPr>
        <w:pStyle w:val="Titre2"/>
      </w:pPr>
      <w:bookmarkStart w:id="26" w:name="_Toc230588197"/>
      <w:r>
        <w:t>7.1. Consolider les acquis</w:t>
      </w:r>
      <w:bookmarkEnd w:id="26"/>
    </w:p>
    <w:p w:rsidR="002A5728" w:rsidRDefault="002A5728">
      <w:pPr>
        <w:spacing w:after="80"/>
      </w:pPr>
    </w:p>
    <w:p w:rsidR="002A5728" w:rsidRDefault="00000000">
      <w:pPr>
        <w:pStyle w:val="Paragraphedeliste"/>
        <w:numPr>
          <w:ilvl w:val="0"/>
          <w:numId w:val="2"/>
        </w:numPr>
        <w:spacing w:after="80"/>
      </w:pPr>
      <w:r>
        <w:t>Organiser des sessions de capitalisation et de mutualisation des expériences entre enseignants (au sein des APFC) pour ancrer les pratiques acquises ;</w:t>
      </w:r>
    </w:p>
    <w:p w:rsidR="002A5728" w:rsidRDefault="00000000">
      <w:pPr>
        <w:pStyle w:val="Paragraphedeliste"/>
        <w:numPr>
          <w:ilvl w:val="0"/>
          <w:numId w:val="2"/>
        </w:numPr>
        <w:spacing w:after="80"/>
      </w:pPr>
      <w:r>
        <w:t>Mettre en place un suivi longitudinal à 6 mois pour mesurer la pérennité des changements de pratiques ;</w:t>
      </w:r>
    </w:p>
    <w:p w:rsidR="002A5728" w:rsidRDefault="00000000">
      <w:pPr>
        <w:pStyle w:val="Paragraphedeliste"/>
        <w:numPr>
          <w:ilvl w:val="0"/>
          <w:numId w:val="2"/>
        </w:numPr>
        <w:spacing w:after="80"/>
      </w:pPr>
      <w:r>
        <w:t>Renforcer l'accompagnement des 6 % d'enseignants (score post-test &lt; 50/60) via un tutorat ciblé par les conseillers pédagogiques.</w:t>
      </w:r>
    </w:p>
    <w:p w:rsidR="002A5728" w:rsidRDefault="002A5728">
      <w:pPr>
        <w:spacing w:after="160"/>
      </w:pPr>
    </w:p>
    <w:p w:rsidR="002A5728" w:rsidRDefault="00000000">
      <w:pPr>
        <w:pStyle w:val="Titre2"/>
      </w:pPr>
      <w:bookmarkStart w:id="27" w:name="_Toc230588198"/>
      <w:r>
        <w:t>7.2. Améliorer les outils</w:t>
      </w:r>
      <w:bookmarkEnd w:id="27"/>
    </w:p>
    <w:p w:rsidR="002A5728" w:rsidRDefault="002A5728">
      <w:pPr>
        <w:spacing w:after="80"/>
      </w:pPr>
    </w:p>
    <w:p w:rsidR="002A5728" w:rsidRDefault="00000000">
      <w:pPr>
        <w:pStyle w:val="Paragraphedeliste"/>
        <w:numPr>
          <w:ilvl w:val="0"/>
          <w:numId w:val="2"/>
        </w:numPr>
        <w:spacing w:after="80"/>
      </w:pPr>
      <w:r>
        <w:t>Actualiser les fiches élèves et les guides enseignants sur la base des retours de la phase pilote, notamment en tenant compte des difficultés pédagogiques, matérielles et logistiques signalées ;</w:t>
      </w:r>
    </w:p>
    <w:p w:rsidR="002A5728" w:rsidRDefault="00000000">
      <w:pPr>
        <w:pStyle w:val="Paragraphedeliste"/>
        <w:numPr>
          <w:ilvl w:val="0"/>
          <w:numId w:val="2"/>
        </w:numPr>
        <w:spacing w:after="80"/>
      </w:pPr>
      <w:r>
        <w:t>Développer des ressources différenciées par niveau et par discipline, en accordant une attention particulière aux fiches pour les profils d'élèves les plus fragiles (profil D) ;</w:t>
      </w:r>
    </w:p>
    <w:p w:rsidR="002A5728" w:rsidRDefault="00000000">
      <w:pPr>
        <w:pStyle w:val="Paragraphedeliste"/>
        <w:numPr>
          <w:ilvl w:val="0"/>
          <w:numId w:val="2"/>
        </w:numPr>
        <w:spacing w:after="80"/>
      </w:pPr>
      <w:r>
        <w:t>Intégrer des outils numériques de suivi là où l'infrastructure le permet.</w:t>
      </w:r>
    </w:p>
    <w:p w:rsidR="002A5728" w:rsidRDefault="002A5728">
      <w:pPr>
        <w:spacing w:after="160"/>
      </w:pPr>
    </w:p>
    <w:p w:rsidR="002A5728" w:rsidRDefault="00000000">
      <w:pPr>
        <w:pStyle w:val="Titre2"/>
      </w:pPr>
      <w:bookmarkStart w:id="28" w:name="_Toc230588199"/>
      <w:r>
        <w:t>7.3. Passer à l'échelle</w:t>
      </w:r>
      <w:bookmarkEnd w:id="28"/>
    </w:p>
    <w:p w:rsidR="002A5728" w:rsidRDefault="002A5728">
      <w:pPr>
        <w:spacing w:after="80"/>
      </w:pPr>
    </w:p>
    <w:p w:rsidR="002A5728" w:rsidRDefault="00000000">
      <w:pPr>
        <w:pStyle w:val="Paragraphedeliste"/>
        <w:numPr>
          <w:ilvl w:val="0"/>
          <w:numId w:val="2"/>
        </w:numPr>
        <w:spacing w:after="80"/>
      </w:pPr>
      <w:r>
        <w:t>Engager une évaluation indépendante des résultats de la phase pilote avant tout déploiement élargi ;</w:t>
      </w:r>
    </w:p>
    <w:p w:rsidR="002A5728" w:rsidRDefault="00000000">
      <w:pPr>
        <w:pStyle w:val="Paragraphedeliste"/>
        <w:numPr>
          <w:ilvl w:val="0"/>
          <w:numId w:val="2"/>
        </w:numPr>
        <w:spacing w:after="80"/>
      </w:pPr>
      <w:r>
        <w:t>Étendre progressivement le dispositif à d'autres DRENAET en priorisant les zones à fort taux d'échec scolaire ;</w:t>
      </w:r>
    </w:p>
    <w:p w:rsidR="002A5728" w:rsidRDefault="00000000">
      <w:pPr>
        <w:pStyle w:val="Paragraphedeliste"/>
        <w:numPr>
          <w:ilvl w:val="0"/>
          <w:numId w:val="2"/>
        </w:numPr>
        <w:spacing w:after="80"/>
      </w:pPr>
      <w:r>
        <w:t>Former les encadreurs pédagogiques (APFC, Inspecteurs) à l'usage de la grille de supervision comme outil de développement professionnel continu.</w:t>
      </w:r>
    </w:p>
    <w:p w:rsidR="002A5728" w:rsidRDefault="002A5728">
      <w:pPr>
        <w:spacing w:after="200"/>
      </w:pPr>
    </w:p>
    <w:p w:rsidR="002A5728" w:rsidRDefault="00000000">
      <w:pPr>
        <w:pStyle w:val="Titre1"/>
        <w:pageBreakBefore/>
      </w:pPr>
      <w:bookmarkStart w:id="29" w:name="_Toc230588200"/>
      <w:r>
        <w:lastRenderedPageBreak/>
        <w:t>VIII. Conclusion</w:t>
      </w:r>
      <w:bookmarkEnd w:id="29"/>
    </w:p>
    <w:p w:rsidR="002A5728" w:rsidRDefault="002A5728">
      <w:pPr>
        <w:pBdr>
          <w:bottom w:val="single" w:sz="8" w:space="4" w:color="1F497D"/>
        </w:pBdr>
        <w:spacing w:after="160"/>
      </w:pPr>
    </w:p>
    <w:p w:rsidR="002A5728" w:rsidRDefault="00000000">
      <w:pPr>
        <w:spacing w:after="160"/>
        <w:jc w:val="both"/>
      </w:pPr>
      <w:r>
        <w:t>L'expérimentation du dispositif de remédiation pédagogique menée dans le cadre du PATEB dans quatre DRENAET du Nord de la Côte d'Ivoire livre des résultats probants. La progression universelle des 224 enseignants participants, avec un gain moyen de +19,19 points sur 60 (+55,8 %), illustre le fort impact de ce dispositif sur les connaissances et les compétences des enseignants en matière de remédiation.</w:t>
      </w:r>
    </w:p>
    <w:p w:rsidR="002A5728" w:rsidRDefault="002A5728">
      <w:pPr>
        <w:spacing w:after="80"/>
      </w:pPr>
    </w:p>
    <w:p w:rsidR="002A5728" w:rsidRDefault="00000000">
      <w:pPr>
        <w:spacing w:after="160"/>
        <w:jc w:val="both"/>
      </w:pPr>
      <w:r>
        <w:t>La réduction significative de l'écart-type (de 4,32 à 2,09) confirme que le dispositif est particulièrement bénéfique pour les enseignants les plus éloignés des pratiques de remédiation, réduisant ainsi les inégalités de compétences au sein du corps enseignant.</w:t>
      </w:r>
    </w:p>
    <w:p w:rsidR="002A5728" w:rsidRDefault="002A5728">
      <w:pPr>
        <w:spacing w:after="80"/>
      </w:pPr>
    </w:p>
    <w:p w:rsidR="002A5728" w:rsidRDefault="00000000">
      <w:pPr>
        <w:spacing w:after="160"/>
        <w:jc w:val="both"/>
      </w:pPr>
      <w:r>
        <w:t>Ces résultats quantitatifs encourageants devront être confirmés par les observations réalisées à l'aide des grilles de supervision en classe, permettant de mesurer le transfert effectif des connaissances acquises dans les pratiques pédagogiques quotidiennes. Les prochaines étapes devront notamment porter sur la consolidation des acquis, l'amélioration continue des outils pédagogiques et la préparation d'un déploiement progressif à l'échelle nationale.</w:t>
      </w:r>
    </w:p>
    <w:p w:rsidR="002A5728" w:rsidRDefault="002A5728">
      <w:pPr>
        <w:spacing w:after="80"/>
      </w:pPr>
    </w:p>
    <w:p w:rsidR="002A5728" w:rsidRDefault="00000000">
      <w:pPr>
        <w:spacing w:after="160"/>
        <w:jc w:val="both"/>
      </w:pPr>
      <w:r>
        <w:t>Le dispositif de remédiation expérimenté dans le cadre du PATEB constitue, au vu de ces premiers résultats, un levier d'action pertinent et efficace pour améliorer la qualité de l'éducation de base en Côte d'Ivoire.</w:t>
      </w:r>
    </w:p>
    <w:p w:rsidR="002A5728" w:rsidRDefault="002A5728">
      <w:pPr>
        <w:spacing w:after="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A5728">
        <w:tblPrEx>
          <w:tblCellMar>
            <w:top w:w="0" w:type="dxa"/>
            <w:bottom w:w="0" w:type="dxa"/>
          </w:tblCellMar>
        </w:tblPrEx>
        <w:tc>
          <w:tcPr>
            <w:tcW w:w="9026" w:type="dxa"/>
            <w:tcBorders>
              <w:top w:val="single" w:sz="4" w:space="0" w:color="595959"/>
              <w:left w:val="single" w:sz="4" w:space="0" w:color="595959"/>
              <w:bottom w:val="single" w:sz="4" w:space="0" w:color="595959"/>
              <w:right w:val="single" w:sz="4" w:space="0" w:color="595959"/>
            </w:tcBorders>
            <w:shd w:val="clear" w:color="auto" w:fill="F2F2F2"/>
            <w:tcMar>
              <w:top w:w="120" w:type="dxa"/>
              <w:left w:w="200" w:type="dxa"/>
              <w:bottom w:w="120" w:type="dxa"/>
              <w:right w:w="200" w:type="dxa"/>
            </w:tcMar>
          </w:tcPr>
          <w:p w:rsidR="002A5728" w:rsidRDefault="002A5728"/>
          <w:p w:rsidR="002A5728" w:rsidRDefault="00000000">
            <w:pPr>
              <w:jc w:val="both"/>
            </w:pPr>
            <w:r>
              <w:rPr>
                <w:sz w:val="21"/>
                <w:szCs w:val="21"/>
              </w:rPr>
              <w:t xml:space="preserve">Rapport réalisé par la Direction de la Pédagogie et de la Formation Continue (DPFC) – PATEB – Mai 2026. Données issues de l'analyse des résultats pré/post-test de 224 enseignants participants (227 inscrits) dans les DRENAET de </w:t>
            </w:r>
            <w:proofErr w:type="spellStart"/>
            <w:r>
              <w:rPr>
                <w:sz w:val="21"/>
                <w:szCs w:val="21"/>
              </w:rPr>
              <w:t>Minignan</w:t>
            </w:r>
            <w:proofErr w:type="spellEnd"/>
            <w:r>
              <w:rPr>
                <w:sz w:val="21"/>
                <w:szCs w:val="21"/>
              </w:rPr>
              <w:t xml:space="preserve">, Odienné, Katiola et </w:t>
            </w:r>
            <w:proofErr w:type="spellStart"/>
            <w:r>
              <w:rPr>
                <w:sz w:val="21"/>
                <w:szCs w:val="21"/>
              </w:rPr>
              <w:t>Ferkesslédougou</w:t>
            </w:r>
            <w:proofErr w:type="spellEnd"/>
            <w:r>
              <w:rPr>
                <w:sz w:val="21"/>
                <w:szCs w:val="21"/>
              </w:rPr>
              <w:t>.</w:t>
            </w:r>
          </w:p>
        </w:tc>
      </w:tr>
    </w:tbl>
    <w:p w:rsidR="002925B3" w:rsidRDefault="002925B3"/>
    <w:sectPr w:rsidR="002925B3">
      <w:headerReference w:type="default" r:id="rId7"/>
      <w:footerReference w:type="default" r:id="rId8"/>
      <w:pgSz w:w="11906" w:h="16838"/>
      <w:pgMar w:top="1134" w:right="1134"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5B3" w:rsidRDefault="002925B3">
      <w:r>
        <w:separator/>
      </w:r>
    </w:p>
  </w:endnote>
  <w:endnote w:type="continuationSeparator" w:id="0">
    <w:p w:rsidR="002925B3" w:rsidRDefault="0029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728" w:rsidRDefault="00000000">
    <w:pPr>
      <w:pBdr>
        <w:top w:val="single" w:sz="4" w:space="4" w:color="1F497D"/>
      </w:pBdr>
      <w:spacing w:before="80"/>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5F1203">
      <w:rPr>
        <w:noProof/>
        <w:color w:val="595959"/>
        <w:sz w:val="18"/>
        <w:szCs w:val="18"/>
      </w:rPr>
      <w:t>1</w:t>
    </w:r>
    <w:r>
      <w:rPr>
        <w:color w:val="595959"/>
        <w:sz w:val="18"/>
        <w:szCs w:val="18"/>
      </w:rPr>
      <w:fldChar w:fldCharType="end"/>
    </w:r>
    <w:r>
      <w:rPr>
        <w:color w:val="595959"/>
        <w:sz w:val="18"/>
        <w:szCs w:val="18"/>
      </w:rPr>
      <w:t xml:space="preserve"> / </w:t>
    </w:r>
    <w:r>
      <w:rPr>
        <w:color w:val="595959"/>
        <w:sz w:val="18"/>
        <w:szCs w:val="18"/>
      </w:rPr>
      <w:fldChar w:fldCharType="begin"/>
    </w:r>
    <w:r>
      <w:rPr>
        <w:color w:val="595959"/>
        <w:sz w:val="18"/>
        <w:szCs w:val="18"/>
      </w:rPr>
      <w:instrText>NUMPAGES</w:instrText>
    </w:r>
    <w:r>
      <w:rPr>
        <w:color w:val="595959"/>
        <w:sz w:val="18"/>
        <w:szCs w:val="18"/>
      </w:rPr>
      <w:fldChar w:fldCharType="separate"/>
    </w:r>
    <w:r w:rsidR="005F1203">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5B3" w:rsidRDefault="002925B3">
      <w:r>
        <w:separator/>
      </w:r>
    </w:p>
  </w:footnote>
  <w:footnote w:type="continuationSeparator" w:id="0">
    <w:p w:rsidR="002925B3" w:rsidRDefault="0029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728" w:rsidRDefault="00000000">
    <w:pPr>
      <w:pBdr>
        <w:bottom w:val="single" w:sz="6" w:space="4" w:color="1F497D"/>
      </w:pBdr>
      <w:tabs>
        <w:tab w:val="right" w:pos="9026"/>
      </w:tabs>
      <w:spacing w:after="80"/>
    </w:pPr>
    <w:r>
      <w:rPr>
        <w:color w:val="595959"/>
        <w:sz w:val="18"/>
        <w:szCs w:val="18"/>
      </w:rPr>
      <w:t>PATEB – Étude d’impact du dispositif de remédiation</w:t>
    </w:r>
    <w:r>
      <w:rPr>
        <w:color w:val="595959"/>
        <w:sz w:val="18"/>
        <w:szCs w:val="18"/>
      </w:rPr>
      <w:tab/>
      <w:t>Mai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02E"/>
    <w:multiLevelType w:val="hybridMultilevel"/>
    <w:tmpl w:val="C9402B5E"/>
    <w:lvl w:ilvl="0" w:tplc="3D4A94CC">
      <w:start w:val="1"/>
      <w:numFmt w:val="bullet"/>
      <w:lvlText w:val="•"/>
      <w:lvlJc w:val="left"/>
      <w:pPr>
        <w:ind w:left="720" w:hanging="360"/>
      </w:pPr>
    </w:lvl>
    <w:lvl w:ilvl="1" w:tplc="D86059C6">
      <w:numFmt w:val="decimal"/>
      <w:lvlText w:val=""/>
      <w:lvlJc w:val="left"/>
    </w:lvl>
    <w:lvl w:ilvl="2" w:tplc="7054AC92">
      <w:numFmt w:val="decimal"/>
      <w:lvlText w:val=""/>
      <w:lvlJc w:val="left"/>
    </w:lvl>
    <w:lvl w:ilvl="3" w:tplc="E654B73A">
      <w:numFmt w:val="decimal"/>
      <w:lvlText w:val=""/>
      <w:lvlJc w:val="left"/>
    </w:lvl>
    <w:lvl w:ilvl="4" w:tplc="A5C8943E">
      <w:numFmt w:val="decimal"/>
      <w:lvlText w:val=""/>
      <w:lvlJc w:val="left"/>
    </w:lvl>
    <w:lvl w:ilvl="5" w:tplc="7C8C8136">
      <w:numFmt w:val="decimal"/>
      <w:lvlText w:val=""/>
      <w:lvlJc w:val="left"/>
    </w:lvl>
    <w:lvl w:ilvl="6" w:tplc="5CD01F6E">
      <w:numFmt w:val="decimal"/>
      <w:lvlText w:val=""/>
      <w:lvlJc w:val="left"/>
    </w:lvl>
    <w:lvl w:ilvl="7" w:tplc="2A1CE5EA">
      <w:numFmt w:val="decimal"/>
      <w:lvlText w:val=""/>
      <w:lvlJc w:val="left"/>
    </w:lvl>
    <w:lvl w:ilvl="8" w:tplc="EC2CE0AA">
      <w:numFmt w:val="decimal"/>
      <w:lvlText w:val=""/>
      <w:lvlJc w:val="left"/>
    </w:lvl>
  </w:abstractNum>
  <w:abstractNum w:abstractNumId="1" w15:restartNumberingAfterBreak="0">
    <w:nsid w:val="612F1BE3"/>
    <w:multiLevelType w:val="hybridMultilevel"/>
    <w:tmpl w:val="1234CC7C"/>
    <w:lvl w:ilvl="0" w:tplc="350C6744">
      <w:start w:val="1"/>
      <w:numFmt w:val="bullet"/>
      <w:lvlText w:val="●"/>
      <w:lvlJc w:val="left"/>
      <w:pPr>
        <w:ind w:left="720" w:hanging="360"/>
      </w:pPr>
    </w:lvl>
    <w:lvl w:ilvl="1" w:tplc="044AF034">
      <w:start w:val="1"/>
      <w:numFmt w:val="bullet"/>
      <w:lvlText w:val="○"/>
      <w:lvlJc w:val="left"/>
      <w:pPr>
        <w:ind w:left="1440" w:hanging="360"/>
      </w:pPr>
    </w:lvl>
    <w:lvl w:ilvl="2" w:tplc="B10464D6">
      <w:start w:val="1"/>
      <w:numFmt w:val="bullet"/>
      <w:lvlText w:val="■"/>
      <w:lvlJc w:val="left"/>
      <w:pPr>
        <w:ind w:left="2160" w:hanging="360"/>
      </w:pPr>
    </w:lvl>
    <w:lvl w:ilvl="3" w:tplc="BDB44726">
      <w:start w:val="1"/>
      <w:numFmt w:val="bullet"/>
      <w:lvlText w:val="●"/>
      <w:lvlJc w:val="left"/>
      <w:pPr>
        <w:ind w:left="2880" w:hanging="360"/>
      </w:pPr>
    </w:lvl>
    <w:lvl w:ilvl="4" w:tplc="EF1CAF2C">
      <w:start w:val="1"/>
      <w:numFmt w:val="bullet"/>
      <w:lvlText w:val="○"/>
      <w:lvlJc w:val="left"/>
      <w:pPr>
        <w:ind w:left="3600" w:hanging="360"/>
      </w:pPr>
    </w:lvl>
    <w:lvl w:ilvl="5" w:tplc="C9788CF4">
      <w:start w:val="1"/>
      <w:numFmt w:val="bullet"/>
      <w:lvlText w:val="■"/>
      <w:lvlJc w:val="left"/>
      <w:pPr>
        <w:ind w:left="4320" w:hanging="360"/>
      </w:pPr>
    </w:lvl>
    <w:lvl w:ilvl="6" w:tplc="FAE2360C">
      <w:start w:val="1"/>
      <w:numFmt w:val="bullet"/>
      <w:lvlText w:val="●"/>
      <w:lvlJc w:val="left"/>
      <w:pPr>
        <w:ind w:left="5040" w:hanging="360"/>
      </w:pPr>
    </w:lvl>
    <w:lvl w:ilvl="7" w:tplc="BE30C586">
      <w:start w:val="1"/>
      <w:numFmt w:val="bullet"/>
      <w:lvlText w:val="●"/>
      <w:lvlJc w:val="left"/>
      <w:pPr>
        <w:ind w:left="5760" w:hanging="360"/>
      </w:pPr>
    </w:lvl>
    <w:lvl w:ilvl="8" w:tplc="397A7DE6">
      <w:start w:val="1"/>
      <w:numFmt w:val="bullet"/>
      <w:lvlText w:val="●"/>
      <w:lvlJc w:val="left"/>
      <w:pPr>
        <w:ind w:left="6480" w:hanging="360"/>
      </w:pPr>
    </w:lvl>
  </w:abstractNum>
  <w:num w:numId="1" w16cid:durableId="408430003">
    <w:abstractNumId w:val="1"/>
    <w:lvlOverride w:ilvl="0">
      <w:startOverride w:val="1"/>
    </w:lvlOverride>
  </w:num>
  <w:num w:numId="2" w16cid:durableId="542593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8"/>
    <w:rsid w:val="002925B3"/>
    <w:rsid w:val="002A5728"/>
    <w:rsid w:val="005F1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69B720"/>
  <w15:docId w15:val="{27C71149-5488-E44F-A83D-73F49996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F497D"/>
      <w:sz w:val="32"/>
      <w:szCs w:val="32"/>
    </w:rPr>
  </w:style>
  <w:style w:type="paragraph" w:styleId="Titre2">
    <w:name w:val="heading 2"/>
    <w:uiPriority w:val="9"/>
    <w:unhideWhenUsed/>
    <w:qFormat/>
    <w:pPr>
      <w:spacing w:before="240" w:after="140"/>
      <w:outlineLvl w:val="1"/>
    </w:pPr>
    <w:rPr>
      <w:b/>
      <w:bCs/>
      <w:color w:val="2E5E8E"/>
      <w:sz w:val="26"/>
      <w:szCs w:val="26"/>
    </w:rPr>
  </w:style>
  <w:style w:type="paragraph" w:styleId="Titre3">
    <w:name w:val="heading 3"/>
    <w:uiPriority w:val="9"/>
    <w:unhideWhenUsed/>
    <w:qFormat/>
    <w:pPr>
      <w:spacing w:before="160" w:after="80"/>
      <w:outlineLvl w:val="2"/>
    </w:pPr>
    <w:rPr>
      <w:b/>
      <w:bCs/>
      <w:color w:val="595959"/>
      <w:sz w:val="23"/>
      <w:szCs w:val="23"/>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TM1">
    <w:name w:val="toc 1"/>
    <w:basedOn w:val="Normal"/>
    <w:next w:val="Normal"/>
    <w:autoRedefine/>
    <w:uiPriority w:val="39"/>
    <w:unhideWhenUsed/>
    <w:rsid w:val="005F1203"/>
    <w:pPr>
      <w:spacing w:after="100"/>
    </w:pPr>
  </w:style>
  <w:style w:type="paragraph" w:styleId="TM2">
    <w:name w:val="toc 2"/>
    <w:basedOn w:val="Normal"/>
    <w:next w:val="Normal"/>
    <w:autoRedefine/>
    <w:uiPriority w:val="39"/>
    <w:unhideWhenUsed/>
    <w:rsid w:val="005F1203"/>
    <w:pPr>
      <w:spacing w:after="100"/>
      <w:ind w:left="220"/>
    </w:pPr>
  </w:style>
  <w:style w:type="paragraph" w:styleId="TM3">
    <w:name w:val="toc 3"/>
    <w:basedOn w:val="Normal"/>
    <w:next w:val="Normal"/>
    <w:autoRedefine/>
    <w:uiPriority w:val="39"/>
    <w:unhideWhenUsed/>
    <w:rsid w:val="005F120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2711</Words>
  <Characters>14916</Characters>
  <Application>Microsoft Office Word</Application>
  <DocSecurity>0</DocSecurity>
  <Lines>124</Lines>
  <Paragraphs>35</Paragraphs>
  <ScaleCrop>false</ScaleCrop>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Thierry HUG</cp:lastModifiedBy>
  <cp:revision>2</cp:revision>
  <dcterms:created xsi:type="dcterms:W3CDTF">2026-05-24T11:06:00Z</dcterms:created>
  <dcterms:modified xsi:type="dcterms:W3CDTF">2026-05-25T05:56:00Z</dcterms:modified>
</cp:coreProperties>
</file>